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1FB5AA41" w:rsidR="0086416D" w:rsidRDefault="0086416D" w:rsidP="0086416D">
      <w:pPr>
        <w:spacing w:after="360"/>
        <w:rPr>
          <w:b/>
        </w:rPr>
      </w:pPr>
      <w:r w:rsidRPr="0086416D">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3C88CD52" w14:textId="77777777" w:rsidR="00BC02D7" w:rsidRPr="00AB057B" w:rsidRDefault="00BC02D7" w:rsidP="00BC02D7">
      <w:pPr>
        <w:jc w:val="right"/>
        <w:rPr>
          <w:rFonts w:ascii="Encode Sans ExpandedLight" w:hAnsi="Encode Sans ExpandedLight" w:cstheme="minorHAnsi"/>
          <w:sz w:val="20"/>
          <w:lang w:val="fr-FR"/>
        </w:rPr>
      </w:pPr>
      <w:proofErr w:type="spellStart"/>
      <w:r w:rsidRPr="00AB057B">
        <w:rPr>
          <w:rFonts w:ascii="Encode Sans ExpandedLight" w:hAnsi="Encode Sans ExpandedLight" w:cstheme="minorHAnsi"/>
          <w:sz w:val="20"/>
          <w:lang w:val="fr-FR"/>
        </w:rPr>
        <w:t>Lijnden</w:t>
      </w:r>
      <w:proofErr w:type="spellEnd"/>
      <w:r w:rsidRPr="00AB057B">
        <w:rPr>
          <w:rFonts w:ascii="Encode Sans ExpandedLight" w:hAnsi="Encode Sans ExpandedLight" w:cstheme="minorHAnsi"/>
          <w:sz w:val="20"/>
          <w:lang w:val="fr-FR"/>
        </w:rPr>
        <w:t xml:space="preserve">, 17 janvier 2021 </w:t>
      </w:r>
    </w:p>
    <w:p w14:paraId="17514D9E" w14:textId="77777777" w:rsidR="00BC02D7" w:rsidRPr="00BC02D7" w:rsidRDefault="00BC02D7" w:rsidP="0086416D">
      <w:pPr>
        <w:spacing w:after="360"/>
        <w:rPr>
          <w:b/>
          <w:lang w:val="fr-FR"/>
        </w:rPr>
      </w:pPr>
    </w:p>
    <w:p w14:paraId="6D29D73F" w14:textId="77777777" w:rsidR="001A26E5" w:rsidRDefault="001A26E5" w:rsidP="00404F80">
      <w:pPr>
        <w:pStyle w:val="SSubject"/>
        <w:jc w:val="center"/>
        <w:rPr>
          <w:rFonts w:ascii="Encode Sans SemiBold" w:hAnsi="Encode Sans SemiBold"/>
          <w:b w:val="0"/>
          <w:sz w:val="24"/>
          <w:lang w:val="fr-FR"/>
        </w:rPr>
      </w:pPr>
    </w:p>
    <w:p w14:paraId="5767CAF1" w14:textId="6990A57F" w:rsidR="00C93F12" w:rsidRPr="004A5E97" w:rsidRDefault="00C93F12" w:rsidP="00404F80">
      <w:pPr>
        <w:pStyle w:val="SSubject"/>
        <w:jc w:val="center"/>
        <w:rPr>
          <w:rFonts w:ascii="Encode Sans SemiBold" w:hAnsi="Encode Sans SemiBold"/>
          <w:b w:val="0"/>
          <w:sz w:val="24"/>
          <w:lang w:val="fr-FR"/>
        </w:rPr>
      </w:pPr>
      <w:r w:rsidRPr="004A5E97">
        <w:rPr>
          <w:rFonts w:ascii="Encode Sans SemiBold" w:hAnsi="Encode Sans SemiBold"/>
          <w:b w:val="0"/>
          <w:sz w:val="24"/>
          <w:lang w:val="fr-FR"/>
        </w:rPr>
        <w:t xml:space="preserve">Nouvelle dénomination et nouvelle gouvernance de </w:t>
      </w:r>
      <w:proofErr w:type="spellStart"/>
      <w:r w:rsidRPr="004A5E97">
        <w:rPr>
          <w:rFonts w:ascii="Encode Sans SemiBold" w:hAnsi="Encode Sans SemiBold"/>
          <w:b w:val="0"/>
          <w:sz w:val="24"/>
          <w:lang w:val="fr-FR"/>
        </w:rPr>
        <w:t>Stellantis</w:t>
      </w:r>
      <w:proofErr w:type="spellEnd"/>
    </w:p>
    <w:p w14:paraId="66E3ECBD" w14:textId="1F8B1097" w:rsidR="00C93F12" w:rsidRDefault="00C93F12" w:rsidP="006A6D23">
      <w:pPr>
        <w:spacing w:line="259" w:lineRule="auto"/>
        <w:jc w:val="center"/>
        <w:rPr>
          <w:rFonts w:ascii="Calibri" w:eastAsia="Calibri" w:hAnsi="Calibri" w:cs="Arial (Body CS)"/>
          <w:b/>
          <w:bCs/>
          <w:caps/>
          <w:sz w:val="22"/>
          <w:szCs w:val="22"/>
          <w:lang w:val="fr-FR"/>
        </w:rPr>
      </w:pPr>
    </w:p>
    <w:p w14:paraId="35083198" w14:textId="77777777" w:rsidR="001A26E5" w:rsidRPr="00C93F12" w:rsidRDefault="001A26E5" w:rsidP="006A6D23">
      <w:pPr>
        <w:spacing w:line="259" w:lineRule="auto"/>
        <w:jc w:val="center"/>
        <w:rPr>
          <w:rFonts w:ascii="Calibri" w:eastAsia="Calibri" w:hAnsi="Calibri" w:cs="Arial (Body CS)"/>
          <w:b/>
          <w:bCs/>
          <w:caps/>
          <w:sz w:val="22"/>
          <w:szCs w:val="22"/>
          <w:lang w:val="fr-FR"/>
        </w:rPr>
      </w:pPr>
    </w:p>
    <w:p w14:paraId="0A5208EF" w14:textId="021F3EE5" w:rsidR="00C93F12" w:rsidRPr="00454E9D" w:rsidRDefault="00C93F12" w:rsidP="00C93F12">
      <w:pPr>
        <w:spacing w:after="160" w:line="259" w:lineRule="auto"/>
        <w:rPr>
          <w:rFonts w:ascii="Encode Sans ExpandedLight" w:hAnsi="Encode Sans ExpandedLight" w:cstheme="minorHAnsi"/>
          <w:sz w:val="20"/>
          <w:lang w:val="fr-FR"/>
        </w:rPr>
      </w:pPr>
      <w:r w:rsidRPr="00454E9D">
        <w:rPr>
          <w:rFonts w:ascii="Encode Sans ExpandedLight" w:eastAsia="Calibri" w:hAnsi="Encode Sans ExpandedLight" w:cs="Arial"/>
          <w:sz w:val="20"/>
          <w:szCs w:val="22"/>
          <w:lang w:val="fr-FR"/>
        </w:rPr>
        <w:t>A</w:t>
      </w:r>
      <w:r w:rsidRPr="00454E9D">
        <w:rPr>
          <w:rFonts w:ascii="Encode Sans ExpandedLight" w:eastAsia="Calibri" w:hAnsi="Encode Sans ExpandedLight" w:cs="Arial"/>
          <w:sz w:val="22"/>
          <w:szCs w:val="22"/>
          <w:lang w:val="fr-FR"/>
        </w:rPr>
        <w:t xml:space="preserve"> </w:t>
      </w:r>
      <w:r w:rsidRPr="00454E9D">
        <w:rPr>
          <w:rFonts w:ascii="Encode Sans ExpandedLight" w:hAnsi="Encode Sans ExpandedLight" w:cstheme="minorHAnsi"/>
          <w:sz w:val="20"/>
          <w:lang w:val="fr-FR"/>
        </w:rPr>
        <w:t xml:space="preserve">la suite de la réalisation de la fusion </w:t>
      </w:r>
      <w:r w:rsidR="00992178" w:rsidRPr="00454E9D">
        <w:rPr>
          <w:rFonts w:ascii="Encode Sans ExpandedLight" w:hAnsi="Encode Sans ExpandedLight" w:cstheme="minorHAnsi"/>
          <w:sz w:val="20"/>
          <w:lang w:val="fr-FR"/>
        </w:rPr>
        <w:t xml:space="preserve">entre </w:t>
      </w:r>
      <w:r w:rsidRPr="00454E9D">
        <w:rPr>
          <w:rFonts w:ascii="Encode Sans ExpandedLight" w:hAnsi="Encode Sans ExpandedLight" w:cstheme="minorHAnsi"/>
          <w:sz w:val="20"/>
          <w:lang w:val="fr-FR"/>
        </w:rPr>
        <w:t xml:space="preserve">Peugeot S.A. (« Groupe PSA ») </w:t>
      </w:r>
      <w:r w:rsidR="00992178" w:rsidRPr="00454E9D">
        <w:rPr>
          <w:rFonts w:ascii="Encode Sans ExpandedLight" w:hAnsi="Encode Sans ExpandedLight" w:cstheme="minorHAnsi"/>
          <w:sz w:val="20"/>
          <w:lang w:val="fr-FR"/>
        </w:rPr>
        <w:t xml:space="preserve">et </w:t>
      </w:r>
      <w:r w:rsidRPr="00454E9D">
        <w:rPr>
          <w:rFonts w:ascii="Encode Sans ExpandedLight" w:hAnsi="Encode Sans ExpandedLight" w:cstheme="minorHAnsi"/>
          <w:sz w:val="20"/>
          <w:lang w:val="fr-FR"/>
        </w:rPr>
        <w:t xml:space="preserve">Fiat Chrysler Automobiles N.V. (« FCA ») intervenue le 16 janvier 2021, </w:t>
      </w:r>
      <w:proofErr w:type="spellStart"/>
      <w:r w:rsidRPr="00454E9D">
        <w:rPr>
          <w:rFonts w:ascii="Encode Sans ExpandedLight" w:hAnsi="Encode Sans ExpandedLight" w:cstheme="minorHAnsi"/>
          <w:sz w:val="20"/>
          <w:lang w:val="fr-FR"/>
        </w:rPr>
        <w:t>Stellantis</w:t>
      </w:r>
      <w:proofErr w:type="spellEnd"/>
      <w:r w:rsidRPr="00454E9D">
        <w:rPr>
          <w:rFonts w:ascii="Encode Sans ExpandedLight" w:hAnsi="Encode Sans ExpandedLight" w:cstheme="minorHAnsi"/>
          <w:sz w:val="20"/>
          <w:lang w:val="fr-FR"/>
        </w:rPr>
        <w:t xml:space="preserve"> N.V. (NYSE / MTA / Euronext </w:t>
      </w:r>
      <w:proofErr w:type="gramStart"/>
      <w:r w:rsidRPr="00454E9D">
        <w:rPr>
          <w:rFonts w:ascii="Encode Sans ExpandedLight" w:hAnsi="Encode Sans ExpandedLight" w:cstheme="minorHAnsi"/>
          <w:sz w:val="20"/>
          <w:lang w:val="fr-FR"/>
        </w:rPr>
        <w:t>Paris:</w:t>
      </w:r>
      <w:proofErr w:type="gramEnd"/>
      <w:r w:rsidRPr="00454E9D">
        <w:rPr>
          <w:rFonts w:ascii="Encode Sans ExpandedLight" w:hAnsi="Encode Sans ExpandedLight" w:cstheme="minorHAnsi"/>
          <w:sz w:val="20"/>
          <w:lang w:val="fr-FR"/>
        </w:rPr>
        <w:t xml:space="preserve"> STLA) (« </w:t>
      </w:r>
      <w:proofErr w:type="spellStart"/>
      <w:r w:rsidRPr="00454E9D">
        <w:rPr>
          <w:rFonts w:ascii="Encode Sans ExpandedLight" w:hAnsi="Encode Sans ExpandedLight" w:cstheme="minorHAnsi"/>
          <w:sz w:val="20"/>
          <w:lang w:val="fr-FR"/>
        </w:rPr>
        <w:t>Stellantis</w:t>
      </w:r>
      <w:proofErr w:type="spellEnd"/>
      <w:r w:rsidRPr="00454E9D">
        <w:rPr>
          <w:rFonts w:ascii="Encode Sans ExpandedLight" w:hAnsi="Encode Sans ExpandedLight" w:cstheme="minorHAnsi"/>
          <w:sz w:val="20"/>
          <w:lang w:val="fr-FR"/>
        </w:rPr>
        <w:t xml:space="preserve"> ») annonce que le changement de </w:t>
      </w:r>
      <w:r w:rsidR="00D00262" w:rsidRPr="00454E9D">
        <w:rPr>
          <w:rFonts w:ascii="Encode Sans ExpandedLight" w:hAnsi="Encode Sans ExpandedLight" w:cstheme="minorHAnsi"/>
          <w:sz w:val="20"/>
          <w:lang w:val="fr-FR"/>
        </w:rPr>
        <w:t xml:space="preserve">la </w:t>
      </w:r>
      <w:r w:rsidRPr="00454E9D">
        <w:rPr>
          <w:rFonts w:ascii="Encode Sans ExpandedLight" w:hAnsi="Encode Sans ExpandedLight" w:cstheme="minorHAnsi"/>
          <w:sz w:val="20"/>
          <w:lang w:val="fr-FR"/>
        </w:rPr>
        <w:t xml:space="preserve">dénomination </w:t>
      </w:r>
      <w:r w:rsidR="00FC5732" w:rsidRPr="00454E9D">
        <w:rPr>
          <w:rFonts w:ascii="Encode Sans ExpandedLight" w:hAnsi="Encode Sans ExpandedLight" w:cstheme="minorHAnsi"/>
          <w:sz w:val="20"/>
          <w:lang w:val="fr-FR"/>
        </w:rPr>
        <w:t>de</w:t>
      </w:r>
      <w:r w:rsidR="00044201" w:rsidRPr="00454E9D">
        <w:rPr>
          <w:rFonts w:ascii="Encode Sans ExpandedLight" w:hAnsi="Encode Sans ExpandedLight" w:cstheme="minorHAnsi"/>
          <w:sz w:val="20"/>
          <w:lang w:val="fr-FR"/>
        </w:rPr>
        <w:t xml:space="preserve"> </w:t>
      </w:r>
      <w:r w:rsidR="00B27CF6" w:rsidRPr="00454E9D">
        <w:rPr>
          <w:rFonts w:ascii="Encode Sans ExpandedLight" w:hAnsi="Encode Sans ExpandedLight" w:cstheme="minorHAnsi"/>
          <w:sz w:val="20"/>
          <w:lang w:val="fr-FR"/>
        </w:rPr>
        <w:t>l’</w:t>
      </w:r>
      <w:r w:rsidR="00FC5732" w:rsidRPr="00454E9D">
        <w:rPr>
          <w:rFonts w:ascii="Encode Sans ExpandedLight" w:hAnsi="Encode Sans ExpandedLight" w:cstheme="minorHAnsi"/>
          <w:sz w:val="20"/>
          <w:lang w:val="fr-FR"/>
        </w:rPr>
        <w:t>entité</w:t>
      </w:r>
      <w:r w:rsidR="00B27CF6" w:rsidRPr="00454E9D">
        <w:rPr>
          <w:rFonts w:ascii="Encode Sans ExpandedLight" w:hAnsi="Encode Sans ExpandedLight" w:cstheme="minorHAnsi"/>
          <w:sz w:val="20"/>
          <w:lang w:val="fr-FR"/>
        </w:rPr>
        <w:t xml:space="preserve"> combinée</w:t>
      </w:r>
      <w:r w:rsidR="00FC5732" w:rsidRPr="00454E9D">
        <w:rPr>
          <w:rFonts w:ascii="Encode Sans ExpandedLight" w:hAnsi="Encode Sans ExpandedLight" w:cstheme="minorHAnsi"/>
          <w:sz w:val="20"/>
          <w:lang w:val="fr-FR"/>
        </w:rPr>
        <w:t xml:space="preserve"> </w:t>
      </w:r>
      <w:r w:rsidRPr="00454E9D">
        <w:rPr>
          <w:rFonts w:ascii="Encode Sans ExpandedLight" w:hAnsi="Encode Sans ExpandedLight" w:cstheme="minorHAnsi"/>
          <w:sz w:val="20"/>
          <w:lang w:val="fr-FR"/>
        </w:rPr>
        <w:t>en « </w:t>
      </w:r>
      <w:proofErr w:type="spellStart"/>
      <w:r w:rsidRPr="00454E9D">
        <w:rPr>
          <w:rFonts w:ascii="Encode Sans ExpandedLight" w:hAnsi="Encode Sans ExpandedLight" w:cstheme="minorHAnsi"/>
          <w:sz w:val="20"/>
          <w:lang w:val="fr-FR"/>
        </w:rPr>
        <w:t>Stellantis</w:t>
      </w:r>
      <w:proofErr w:type="spellEnd"/>
      <w:r w:rsidRPr="00454E9D">
        <w:rPr>
          <w:rFonts w:ascii="Encode Sans ExpandedLight" w:hAnsi="Encode Sans ExpandedLight" w:cstheme="minorHAnsi"/>
          <w:sz w:val="20"/>
          <w:lang w:val="fr-FR"/>
        </w:rPr>
        <w:t> », la nomination des membres de son Conseil d’Administration et l’entrée en vigueur de ses statuts</w:t>
      </w:r>
      <w:r w:rsidR="00B27CF6" w:rsidRPr="00454E9D">
        <w:rPr>
          <w:rFonts w:ascii="Encode Sans ExpandedLight" w:hAnsi="Encode Sans ExpandedLight" w:cstheme="minorHAnsi"/>
          <w:sz w:val="20"/>
          <w:lang w:val="fr-FR"/>
        </w:rPr>
        <w:t>, sont intervenus ce jour</w:t>
      </w:r>
      <w:r w:rsidRPr="00454E9D">
        <w:rPr>
          <w:rFonts w:ascii="Encode Sans ExpandedLight" w:hAnsi="Encode Sans ExpandedLight" w:cstheme="minorHAnsi"/>
          <w:sz w:val="20"/>
          <w:lang w:val="fr-FR"/>
        </w:rPr>
        <w:t xml:space="preserve">. </w:t>
      </w:r>
    </w:p>
    <w:p w14:paraId="082D6243" w14:textId="771A1083" w:rsidR="00C93F12" w:rsidRPr="00454E9D" w:rsidRDefault="00C93F12" w:rsidP="00C93F12">
      <w:pPr>
        <w:spacing w:after="160" w:line="259" w:lineRule="auto"/>
        <w:rPr>
          <w:rFonts w:ascii="Encode Sans ExpandedLight" w:hAnsi="Encode Sans ExpandedLight" w:cstheme="minorHAnsi"/>
          <w:sz w:val="20"/>
          <w:lang w:val="fr-FR"/>
        </w:rPr>
      </w:pPr>
      <w:r w:rsidRPr="00454E9D">
        <w:rPr>
          <w:rFonts w:ascii="Encode Sans ExpandedLight" w:hAnsi="Encode Sans ExpandedLight" w:cstheme="minorHAnsi"/>
          <w:sz w:val="20"/>
          <w:lang w:val="fr-FR"/>
        </w:rPr>
        <w:t xml:space="preserve">Comme cela avait déjà été annoncé, le </w:t>
      </w:r>
      <w:hyperlink r:id="rId7" w:history="1">
        <w:r w:rsidRPr="009F7379">
          <w:rPr>
            <w:rStyle w:val="Collegamentoipertestuale"/>
            <w:rFonts w:ascii="Encode Sans ExpandedLight" w:hAnsi="Encode Sans ExpandedLight" w:cstheme="minorHAnsi"/>
            <w:sz w:val="20"/>
            <w:u w:val="single"/>
            <w:lang w:val="fr-FR"/>
          </w:rPr>
          <w:t xml:space="preserve">Conseil d’Administration de </w:t>
        </w:r>
        <w:proofErr w:type="spellStart"/>
        <w:r w:rsidRPr="009F7379">
          <w:rPr>
            <w:rStyle w:val="Collegamentoipertestuale"/>
            <w:rFonts w:ascii="Encode Sans ExpandedLight" w:hAnsi="Encode Sans ExpandedLight" w:cstheme="minorHAnsi"/>
            <w:sz w:val="20"/>
            <w:u w:val="single"/>
            <w:lang w:val="fr-FR"/>
          </w:rPr>
          <w:t>Stellantis</w:t>
        </w:r>
        <w:proofErr w:type="spellEnd"/>
      </w:hyperlink>
      <w:r w:rsidRPr="00454E9D">
        <w:rPr>
          <w:rFonts w:ascii="Encode Sans ExpandedLight" w:hAnsi="Encode Sans ExpandedLight" w:cstheme="minorHAnsi"/>
          <w:sz w:val="20"/>
          <w:lang w:val="fr-FR"/>
        </w:rPr>
        <w:t xml:space="preserve"> est composé de deux administrateurs exécutifs : John </w:t>
      </w:r>
      <w:proofErr w:type="spellStart"/>
      <w:r w:rsidRPr="00454E9D">
        <w:rPr>
          <w:rFonts w:ascii="Encode Sans ExpandedLight" w:hAnsi="Encode Sans ExpandedLight" w:cstheme="minorHAnsi"/>
          <w:sz w:val="20"/>
          <w:lang w:val="fr-FR"/>
        </w:rPr>
        <w:t>Elkann</w:t>
      </w:r>
      <w:proofErr w:type="spellEnd"/>
      <w:r w:rsidRPr="00454E9D">
        <w:rPr>
          <w:rFonts w:ascii="Encode Sans ExpandedLight" w:hAnsi="Encode Sans ExpandedLight" w:cstheme="minorHAnsi"/>
          <w:sz w:val="20"/>
          <w:lang w:val="fr-FR"/>
        </w:rPr>
        <w:t xml:space="preserve"> (Président) et Carlos </w:t>
      </w:r>
      <w:proofErr w:type="spellStart"/>
      <w:r w:rsidRPr="00454E9D">
        <w:rPr>
          <w:rFonts w:ascii="Encode Sans ExpandedLight" w:hAnsi="Encode Sans ExpandedLight" w:cstheme="minorHAnsi"/>
          <w:sz w:val="20"/>
          <w:lang w:val="fr-FR"/>
        </w:rPr>
        <w:t>Tavares</w:t>
      </w:r>
      <w:proofErr w:type="spellEnd"/>
      <w:r w:rsidRPr="00454E9D">
        <w:rPr>
          <w:rFonts w:ascii="Encode Sans ExpandedLight" w:hAnsi="Encode Sans ExpandedLight" w:cstheme="minorHAnsi"/>
          <w:sz w:val="20"/>
          <w:lang w:val="fr-FR"/>
        </w:rPr>
        <w:t xml:space="preserve"> (Directeur général) et des neuf administrateurs non-exécutifs suivants : Robert Peugeot (</w:t>
      </w:r>
      <w:proofErr w:type="spellStart"/>
      <w:r w:rsidRPr="00454E9D">
        <w:rPr>
          <w:rFonts w:ascii="Encode Sans ExpandedLight" w:hAnsi="Encode Sans ExpandedLight" w:cstheme="minorHAnsi"/>
          <w:sz w:val="20"/>
          <w:lang w:val="fr-FR"/>
        </w:rPr>
        <w:t>Vice Président</w:t>
      </w:r>
      <w:proofErr w:type="spellEnd"/>
      <w:r w:rsidRPr="00454E9D">
        <w:rPr>
          <w:rFonts w:ascii="Encode Sans ExpandedLight" w:hAnsi="Encode Sans ExpandedLight" w:cstheme="minorHAnsi"/>
          <w:sz w:val="20"/>
          <w:lang w:val="fr-FR"/>
        </w:rPr>
        <w:t xml:space="preserve">), Henri de Castries (Administrateur Indépendant Senior, agissant en tant que </w:t>
      </w:r>
      <w:proofErr w:type="spellStart"/>
      <w:r w:rsidRPr="00454E9D">
        <w:rPr>
          <w:rFonts w:ascii="Encode Sans ExpandedLight" w:hAnsi="Encode Sans ExpandedLight" w:cstheme="minorHAnsi"/>
          <w:sz w:val="20"/>
          <w:lang w:val="fr-FR"/>
        </w:rPr>
        <w:t>voorzitter</w:t>
      </w:r>
      <w:proofErr w:type="spellEnd"/>
      <w:r w:rsidRPr="00454E9D">
        <w:rPr>
          <w:rFonts w:ascii="Encode Sans ExpandedLight" w:hAnsi="Encode Sans ExpandedLight" w:cstheme="minorHAnsi"/>
          <w:sz w:val="20"/>
          <w:lang w:val="fr-FR"/>
        </w:rPr>
        <w:t xml:space="preserve"> au sens du droit néerlandais), Andrea Agnelli, Fiona </w:t>
      </w:r>
      <w:proofErr w:type="spellStart"/>
      <w:r w:rsidRPr="00454E9D">
        <w:rPr>
          <w:rFonts w:ascii="Encode Sans ExpandedLight" w:hAnsi="Encode Sans ExpandedLight" w:cstheme="minorHAnsi"/>
          <w:sz w:val="20"/>
          <w:lang w:val="fr-FR"/>
        </w:rPr>
        <w:t>Clare</w:t>
      </w:r>
      <w:proofErr w:type="spellEnd"/>
      <w:r w:rsidRPr="00454E9D">
        <w:rPr>
          <w:rFonts w:ascii="Encode Sans ExpandedLight" w:hAnsi="Encode Sans ExpandedLight" w:cstheme="minorHAnsi"/>
          <w:sz w:val="20"/>
          <w:lang w:val="fr-FR"/>
        </w:rPr>
        <w:t xml:space="preserve"> </w:t>
      </w:r>
      <w:proofErr w:type="spellStart"/>
      <w:r w:rsidRPr="00454E9D">
        <w:rPr>
          <w:rFonts w:ascii="Encode Sans ExpandedLight" w:hAnsi="Encode Sans ExpandedLight" w:cstheme="minorHAnsi"/>
          <w:sz w:val="20"/>
          <w:lang w:val="fr-FR"/>
        </w:rPr>
        <w:t>Cicconi</w:t>
      </w:r>
      <w:proofErr w:type="spellEnd"/>
      <w:r w:rsidRPr="00454E9D">
        <w:rPr>
          <w:rFonts w:ascii="Encode Sans ExpandedLight" w:hAnsi="Encode Sans ExpandedLight" w:cstheme="minorHAnsi"/>
          <w:sz w:val="20"/>
          <w:lang w:val="fr-FR"/>
        </w:rPr>
        <w:t xml:space="preserve">, Nicolas </w:t>
      </w:r>
      <w:proofErr w:type="spellStart"/>
      <w:r w:rsidRPr="00454E9D">
        <w:rPr>
          <w:rFonts w:ascii="Encode Sans ExpandedLight" w:hAnsi="Encode Sans ExpandedLight" w:cstheme="minorHAnsi"/>
          <w:sz w:val="20"/>
          <w:lang w:val="fr-FR"/>
        </w:rPr>
        <w:t>Dufourcq</w:t>
      </w:r>
      <w:proofErr w:type="spellEnd"/>
      <w:r w:rsidRPr="00454E9D">
        <w:rPr>
          <w:rFonts w:ascii="Encode Sans ExpandedLight" w:hAnsi="Encode Sans ExpandedLight" w:cstheme="minorHAnsi"/>
          <w:sz w:val="20"/>
          <w:lang w:val="fr-FR"/>
        </w:rPr>
        <w:t xml:space="preserve">, Ann Frances </w:t>
      </w:r>
      <w:proofErr w:type="spellStart"/>
      <w:r w:rsidRPr="00454E9D">
        <w:rPr>
          <w:rFonts w:ascii="Encode Sans ExpandedLight" w:hAnsi="Encode Sans ExpandedLight" w:cstheme="minorHAnsi"/>
          <w:sz w:val="20"/>
          <w:lang w:val="fr-FR"/>
        </w:rPr>
        <w:t>Godbehere</w:t>
      </w:r>
      <w:proofErr w:type="spellEnd"/>
      <w:r w:rsidRPr="00454E9D">
        <w:rPr>
          <w:rFonts w:ascii="Encode Sans ExpandedLight" w:hAnsi="Encode Sans ExpandedLight" w:cstheme="minorHAnsi"/>
          <w:sz w:val="20"/>
          <w:lang w:val="fr-FR"/>
        </w:rPr>
        <w:t xml:space="preserve">, Wan Ling </w:t>
      </w:r>
      <w:proofErr w:type="spellStart"/>
      <w:r w:rsidRPr="00454E9D">
        <w:rPr>
          <w:rFonts w:ascii="Encode Sans ExpandedLight" w:hAnsi="Encode Sans ExpandedLight" w:cstheme="minorHAnsi"/>
          <w:sz w:val="20"/>
          <w:lang w:val="fr-FR"/>
        </w:rPr>
        <w:t>Martello</w:t>
      </w:r>
      <w:proofErr w:type="spellEnd"/>
      <w:r w:rsidRPr="00454E9D">
        <w:rPr>
          <w:rFonts w:ascii="Encode Sans ExpandedLight" w:hAnsi="Encode Sans ExpandedLight" w:cstheme="minorHAnsi"/>
          <w:sz w:val="20"/>
          <w:lang w:val="fr-FR"/>
        </w:rPr>
        <w:t>, Jacques de Saint-Exupéry et Kevin Scott.</w:t>
      </w:r>
    </w:p>
    <w:p w14:paraId="63675713" w14:textId="408A614A" w:rsidR="0096042B" w:rsidRPr="0096042B" w:rsidRDefault="00C93F12" w:rsidP="0096042B">
      <w:pPr>
        <w:spacing w:line="276" w:lineRule="auto"/>
        <w:rPr>
          <w:rFonts w:ascii="Encode Sans ExpandedLight" w:hAnsi="Encode Sans ExpandedLight" w:cs="Calibri"/>
          <w:sz w:val="22"/>
          <w:szCs w:val="22"/>
          <w:lang w:val="fr-FR"/>
        </w:rPr>
      </w:pPr>
      <w:r w:rsidRPr="00454E9D">
        <w:rPr>
          <w:rFonts w:ascii="Encode Sans ExpandedLight" w:hAnsi="Encode Sans ExpandedLight" w:cstheme="minorHAnsi"/>
          <w:sz w:val="20"/>
          <w:lang w:val="fr-FR"/>
        </w:rPr>
        <w:t xml:space="preserve">Par ailleurs, le Conseil d’Administration de </w:t>
      </w:r>
      <w:proofErr w:type="spellStart"/>
      <w:r w:rsidRPr="00454E9D">
        <w:rPr>
          <w:rFonts w:ascii="Encode Sans ExpandedLight" w:hAnsi="Encode Sans ExpandedLight" w:cstheme="minorHAnsi"/>
          <w:sz w:val="20"/>
          <w:lang w:val="fr-FR"/>
        </w:rPr>
        <w:t>Stellantis</w:t>
      </w:r>
      <w:proofErr w:type="spellEnd"/>
      <w:r w:rsidRPr="00454E9D">
        <w:rPr>
          <w:rFonts w:ascii="Encode Sans ExpandedLight" w:hAnsi="Encode Sans ExpandedLight" w:cstheme="minorHAnsi"/>
          <w:sz w:val="20"/>
          <w:lang w:val="fr-FR"/>
        </w:rPr>
        <w:t xml:space="preserve"> a nommé, ce jour, un Comité </w:t>
      </w:r>
      <w:r w:rsidRPr="0072192A">
        <w:rPr>
          <w:rFonts w:ascii="Encode Sans ExpandedLight" w:hAnsi="Encode Sans ExpandedLight" w:cstheme="minorHAnsi"/>
          <w:sz w:val="20"/>
          <w:lang w:val="fr-FR"/>
        </w:rPr>
        <w:t>d’Audit, un Comité des Rémunérations et un Comité de Gouvernance</w:t>
      </w:r>
      <w:r w:rsidR="00FC2085" w:rsidRPr="0072192A">
        <w:rPr>
          <w:rFonts w:ascii="Encode Sans ExpandedLight" w:hAnsi="Encode Sans ExpandedLight" w:cstheme="minorHAnsi"/>
          <w:sz w:val="20"/>
          <w:lang w:val="fr-FR"/>
        </w:rPr>
        <w:t xml:space="preserve"> </w:t>
      </w:r>
      <w:r w:rsidR="00041C1B" w:rsidRPr="0072192A">
        <w:rPr>
          <w:rFonts w:ascii="Encode Sans ExpandedLight" w:hAnsi="Encode Sans ExpandedLight" w:cstheme="minorHAnsi"/>
          <w:sz w:val="20"/>
          <w:lang w:val="fr-FR"/>
        </w:rPr>
        <w:t xml:space="preserve">et de </w:t>
      </w:r>
      <w:r w:rsidR="00FC2085" w:rsidRPr="0072192A">
        <w:rPr>
          <w:rFonts w:ascii="Encode Sans ExpandedLight" w:hAnsi="Encode Sans ExpandedLight" w:cstheme="minorHAnsi"/>
          <w:sz w:val="20"/>
          <w:lang w:val="fr-FR"/>
        </w:rPr>
        <w:t>durabilité</w:t>
      </w:r>
      <w:r w:rsidRPr="0072192A">
        <w:rPr>
          <w:rFonts w:ascii="Encode Sans ExpandedLight" w:hAnsi="Encode Sans ExpandedLight" w:cstheme="minorHAnsi"/>
          <w:sz w:val="20"/>
          <w:lang w:val="fr-FR"/>
        </w:rPr>
        <w:t>, dont les compositions sont le</w:t>
      </w:r>
      <w:r w:rsidR="0096042B" w:rsidRPr="0072192A">
        <w:rPr>
          <w:rFonts w:ascii="Encode Sans ExpandedLight" w:hAnsi="Encode Sans ExpandedLight" w:cstheme="minorHAnsi"/>
          <w:sz w:val="20"/>
          <w:lang w:val="fr-FR"/>
        </w:rPr>
        <w:t xml:space="preserve">s suivantes : Comité d’Audit : </w:t>
      </w:r>
      <w:r w:rsidR="00FC2085" w:rsidRPr="0072192A">
        <w:rPr>
          <w:rFonts w:ascii="Encode Sans ExpandedLight" w:hAnsi="Encode Sans ExpandedLight"/>
          <w:color w:val="272B35" w:themeColor="text1"/>
          <w:sz w:val="20"/>
          <w:szCs w:val="20"/>
          <w:lang w:val="fr-FR"/>
        </w:rPr>
        <w:t xml:space="preserve">Ann </w:t>
      </w:r>
      <w:proofErr w:type="spellStart"/>
      <w:r w:rsidR="00FC2085" w:rsidRPr="0072192A">
        <w:rPr>
          <w:rFonts w:ascii="Encode Sans ExpandedLight" w:hAnsi="Encode Sans ExpandedLight"/>
          <w:color w:val="272B35" w:themeColor="text1"/>
          <w:sz w:val="20"/>
          <w:szCs w:val="20"/>
          <w:lang w:val="fr-FR"/>
        </w:rPr>
        <w:t>Godbehere</w:t>
      </w:r>
      <w:proofErr w:type="spellEnd"/>
      <w:r w:rsidR="00FC2085" w:rsidRPr="0072192A">
        <w:rPr>
          <w:rFonts w:ascii="Encode Sans ExpandedLight" w:hAnsi="Encode Sans ExpandedLight"/>
          <w:color w:val="272B35" w:themeColor="text1"/>
          <w:sz w:val="20"/>
          <w:szCs w:val="20"/>
          <w:lang w:val="fr-FR"/>
        </w:rPr>
        <w:t xml:space="preserve"> (p</w:t>
      </w:r>
      <w:r w:rsidR="0096042B" w:rsidRPr="0072192A">
        <w:rPr>
          <w:rFonts w:ascii="Encode Sans ExpandedLight" w:hAnsi="Encode Sans ExpandedLight"/>
          <w:color w:val="272B35" w:themeColor="text1"/>
          <w:sz w:val="20"/>
          <w:szCs w:val="20"/>
          <w:lang w:val="fr-FR"/>
        </w:rPr>
        <w:t xml:space="preserve">résidente), Wan Ling </w:t>
      </w:r>
      <w:proofErr w:type="spellStart"/>
      <w:r w:rsidR="0096042B" w:rsidRPr="0072192A">
        <w:rPr>
          <w:rFonts w:ascii="Encode Sans ExpandedLight" w:hAnsi="Encode Sans ExpandedLight"/>
          <w:color w:val="272B35" w:themeColor="text1"/>
          <w:sz w:val="20"/>
          <w:szCs w:val="20"/>
          <w:lang w:val="fr-FR"/>
        </w:rPr>
        <w:t>Martello</w:t>
      </w:r>
      <w:proofErr w:type="spellEnd"/>
      <w:r w:rsidR="0096042B" w:rsidRPr="0072192A">
        <w:rPr>
          <w:rFonts w:ascii="Encode Sans ExpandedLight" w:hAnsi="Encode Sans ExpandedLight"/>
          <w:color w:val="272B35" w:themeColor="text1"/>
          <w:sz w:val="20"/>
          <w:szCs w:val="20"/>
          <w:lang w:val="fr-FR"/>
        </w:rPr>
        <w:t xml:space="preserve"> et Henri De Castries</w:t>
      </w:r>
      <w:r w:rsidRPr="0072192A">
        <w:rPr>
          <w:rFonts w:ascii="Encode Sans ExpandedLight" w:hAnsi="Encode Sans ExpandedLight" w:cstheme="minorHAnsi"/>
          <w:sz w:val="20"/>
          <w:lang w:val="fr-FR"/>
        </w:rPr>
        <w:t>. Comit</w:t>
      </w:r>
      <w:r w:rsidRPr="0072192A">
        <w:rPr>
          <w:rFonts w:ascii="Encode Sans ExpandedLight" w:hAnsi="Encode Sans ExpandedLight" w:cs="___WRD_EMBED_SUB_338"/>
          <w:sz w:val="20"/>
          <w:lang w:val="fr-FR"/>
        </w:rPr>
        <w:t>é</w:t>
      </w:r>
      <w:r w:rsidRPr="0072192A">
        <w:rPr>
          <w:rFonts w:ascii="Encode Sans ExpandedLight" w:hAnsi="Encode Sans ExpandedLight" w:cstheme="minorHAnsi"/>
          <w:sz w:val="20"/>
          <w:lang w:val="fr-FR"/>
        </w:rPr>
        <w:t xml:space="preserve"> de R</w:t>
      </w:r>
      <w:r w:rsidRPr="0072192A">
        <w:rPr>
          <w:rFonts w:ascii="Encode Sans ExpandedLight" w:hAnsi="Encode Sans ExpandedLight" w:cs="___WRD_EMBED_SUB_338"/>
          <w:sz w:val="20"/>
          <w:lang w:val="fr-FR"/>
        </w:rPr>
        <w:t>é</w:t>
      </w:r>
      <w:r w:rsidRPr="0072192A">
        <w:rPr>
          <w:rFonts w:ascii="Encode Sans ExpandedLight" w:hAnsi="Encode Sans ExpandedLight" w:cstheme="minorHAnsi"/>
          <w:sz w:val="20"/>
          <w:lang w:val="fr-FR"/>
        </w:rPr>
        <w:t>mun</w:t>
      </w:r>
      <w:r w:rsidRPr="0072192A">
        <w:rPr>
          <w:rFonts w:ascii="Encode Sans ExpandedLight" w:hAnsi="Encode Sans ExpandedLight" w:cs="___WRD_EMBED_SUB_338"/>
          <w:sz w:val="20"/>
          <w:lang w:val="fr-FR"/>
        </w:rPr>
        <w:t>é</w:t>
      </w:r>
      <w:r w:rsidR="0096042B" w:rsidRPr="0072192A">
        <w:rPr>
          <w:rFonts w:ascii="Encode Sans ExpandedLight" w:hAnsi="Encode Sans ExpandedLight" w:cstheme="minorHAnsi"/>
          <w:sz w:val="20"/>
          <w:lang w:val="fr-FR"/>
        </w:rPr>
        <w:t xml:space="preserve">ration : </w:t>
      </w:r>
      <w:r w:rsidR="0096042B" w:rsidRPr="0072192A">
        <w:rPr>
          <w:rFonts w:ascii="Encode Sans ExpandedLight" w:hAnsi="Encode Sans ExpandedLight"/>
          <w:color w:val="272B35" w:themeColor="text1"/>
          <w:sz w:val="20"/>
          <w:szCs w:val="20"/>
          <w:lang w:val="fr-FR"/>
        </w:rPr>
        <w:t xml:space="preserve">Wan Ling </w:t>
      </w:r>
      <w:proofErr w:type="spellStart"/>
      <w:r w:rsidR="0096042B" w:rsidRPr="0072192A">
        <w:rPr>
          <w:rFonts w:ascii="Encode Sans ExpandedLight" w:hAnsi="Encode Sans ExpandedLight"/>
          <w:color w:val="272B35" w:themeColor="text1"/>
          <w:sz w:val="20"/>
          <w:szCs w:val="20"/>
          <w:lang w:val="fr-FR"/>
        </w:rPr>
        <w:t>Martello</w:t>
      </w:r>
      <w:proofErr w:type="spellEnd"/>
      <w:r w:rsidR="0096042B" w:rsidRPr="0072192A">
        <w:rPr>
          <w:rFonts w:ascii="Encode Sans ExpandedLight" w:hAnsi="Encode Sans ExpandedLight"/>
          <w:color w:val="272B35" w:themeColor="text1"/>
          <w:sz w:val="20"/>
          <w:szCs w:val="20"/>
          <w:lang w:val="fr-FR"/>
        </w:rPr>
        <w:t xml:space="preserve"> (</w:t>
      </w:r>
      <w:r w:rsidR="00FC2085" w:rsidRPr="0072192A">
        <w:rPr>
          <w:rFonts w:ascii="Encode Sans ExpandedLight" w:hAnsi="Encode Sans ExpandedLight"/>
          <w:color w:val="272B35" w:themeColor="text1"/>
          <w:sz w:val="20"/>
          <w:szCs w:val="20"/>
          <w:lang w:val="fr-FR"/>
        </w:rPr>
        <w:t>présid</w:t>
      </w:r>
      <w:r w:rsidR="0096042B" w:rsidRPr="0072192A">
        <w:rPr>
          <w:rFonts w:ascii="Encode Sans ExpandedLight" w:hAnsi="Encode Sans ExpandedLight"/>
          <w:color w:val="272B35" w:themeColor="text1"/>
          <w:sz w:val="20"/>
          <w:szCs w:val="20"/>
          <w:lang w:val="fr-FR"/>
        </w:rPr>
        <w:t xml:space="preserve">ent), Andrea Agnelli, Henri De Castries, Fiona </w:t>
      </w:r>
      <w:proofErr w:type="spellStart"/>
      <w:r w:rsidR="0096042B" w:rsidRPr="0072192A">
        <w:rPr>
          <w:rFonts w:ascii="Encode Sans ExpandedLight" w:hAnsi="Encode Sans ExpandedLight"/>
          <w:color w:val="272B35" w:themeColor="text1"/>
          <w:sz w:val="20"/>
          <w:szCs w:val="20"/>
          <w:lang w:val="fr-FR"/>
        </w:rPr>
        <w:t>Cicconi</w:t>
      </w:r>
      <w:proofErr w:type="spellEnd"/>
      <w:r w:rsidR="0096042B" w:rsidRPr="0072192A">
        <w:rPr>
          <w:rFonts w:ascii="Encode Sans ExpandedLight" w:hAnsi="Encode Sans ExpandedLight"/>
          <w:color w:val="272B35" w:themeColor="text1"/>
          <w:sz w:val="20"/>
          <w:szCs w:val="20"/>
          <w:lang w:val="fr-FR"/>
        </w:rPr>
        <w:t xml:space="preserve"> et Robert Peugeot</w:t>
      </w:r>
      <w:r w:rsidRPr="0072192A">
        <w:rPr>
          <w:rFonts w:ascii="Encode Sans ExpandedLight" w:hAnsi="Encode Sans ExpandedLight" w:cstheme="minorHAnsi"/>
          <w:sz w:val="20"/>
          <w:lang w:val="fr-FR"/>
        </w:rPr>
        <w:t>. Comit</w:t>
      </w:r>
      <w:r w:rsidRPr="0072192A">
        <w:rPr>
          <w:rFonts w:ascii="Encode Sans ExpandedLight" w:hAnsi="Encode Sans ExpandedLight" w:cs="___WRD_EMBED_SUB_338"/>
          <w:sz w:val="20"/>
          <w:lang w:val="fr-FR"/>
        </w:rPr>
        <w:t>é</w:t>
      </w:r>
      <w:r w:rsidRPr="0072192A">
        <w:rPr>
          <w:rFonts w:ascii="Encode Sans ExpandedLight" w:hAnsi="Encode Sans ExpandedLight" w:cstheme="minorHAnsi"/>
          <w:sz w:val="20"/>
          <w:lang w:val="fr-FR"/>
        </w:rPr>
        <w:t xml:space="preserve"> de Gouvernance</w:t>
      </w:r>
      <w:r w:rsidR="00041C1B" w:rsidRPr="0072192A">
        <w:rPr>
          <w:rFonts w:ascii="Encode Sans ExpandedLight" w:hAnsi="Encode Sans ExpandedLight" w:cstheme="minorHAnsi"/>
          <w:sz w:val="20"/>
          <w:lang w:val="fr-FR"/>
        </w:rPr>
        <w:t xml:space="preserve"> et de durabilité</w:t>
      </w:r>
      <w:r w:rsidRPr="0072192A">
        <w:rPr>
          <w:rFonts w:ascii="Encode Sans ExpandedLight" w:hAnsi="Encode Sans ExpandedLight" w:cstheme="minorHAnsi"/>
          <w:sz w:val="20"/>
          <w:lang w:val="fr-FR"/>
        </w:rPr>
        <w:t xml:space="preserve"> : </w:t>
      </w:r>
      <w:r w:rsidR="00FC2085" w:rsidRPr="0072192A">
        <w:rPr>
          <w:rFonts w:ascii="Encode Sans ExpandedLight" w:hAnsi="Encode Sans ExpandedLight"/>
          <w:color w:val="272B35" w:themeColor="text1"/>
          <w:sz w:val="20"/>
          <w:szCs w:val="20"/>
          <w:lang w:val="fr-FR"/>
        </w:rPr>
        <w:t>Henri De Castries (p</w:t>
      </w:r>
      <w:r w:rsidR="0096042B" w:rsidRPr="0072192A">
        <w:rPr>
          <w:rFonts w:ascii="Encode Sans ExpandedLight" w:hAnsi="Encode Sans ExpandedLight"/>
          <w:color w:val="272B35" w:themeColor="text1"/>
          <w:sz w:val="20"/>
          <w:szCs w:val="20"/>
          <w:lang w:val="fr-FR"/>
        </w:rPr>
        <w:t xml:space="preserve">résident), Andrea Agnelli, Fiona </w:t>
      </w:r>
      <w:proofErr w:type="spellStart"/>
      <w:r w:rsidR="0096042B" w:rsidRPr="0072192A">
        <w:rPr>
          <w:rFonts w:ascii="Encode Sans ExpandedLight" w:hAnsi="Encode Sans ExpandedLight"/>
          <w:color w:val="272B35" w:themeColor="text1"/>
          <w:sz w:val="20"/>
          <w:szCs w:val="20"/>
          <w:lang w:val="fr-FR"/>
        </w:rPr>
        <w:t>Cicconi</w:t>
      </w:r>
      <w:proofErr w:type="spellEnd"/>
      <w:r w:rsidR="0096042B" w:rsidRPr="0072192A">
        <w:rPr>
          <w:rFonts w:ascii="Encode Sans ExpandedLight" w:hAnsi="Encode Sans ExpandedLight"/>
          <w:color w:val="272B35" w:themeColor="text1"/>
          <w:sz w:val="20"/>
          <w:szCs w:val="20"/>
          <w:lang w:val="fr-FR"/>
        </w:rPr>
        <w:t xml:space="preserve">, Nicolas </w:t>
      </w:r>
      <w:proofErr w:type="spellStart"/>
      <w:r w:rsidR="0096042B" w:rsidRPr="0072192A">
        <w:rPr>
          <w:rFonts w:ascii="Encode Sans ExpandedLight" w:hAnsi="Encode Sans ExpandedLight"/>
          <w:color w:val="272B35" w:themeColor="text1"/>
          <w:sz w:val="20"/>
          <w:szCs w:val="20"/>
          <w:lang w:val="fr-FR"/>
        </w:rPr>
        <w:t>Dufourcq</w:t>
      </w:r>
      <w:proofErr w:type="spellEnd"/>
      <w:r w:rsidR="0096042B" w:rsidRPr="0072192A">
        <w:rPr>
          <w:rFonts w:ascii="Encode Sans ExpandedLight" w:hAnsi="Encode Sans ExpandedLight"/>
          <w:color w:val="272B35" w:themeColor="text1"/>
          <w:sz w:val="20"/>
          <w:szCs w:val="20"/>
          <w:lang w:val="fr-FR"/>
        </w:rPr>
        <w:t xml:space="preserve"> et Kevin Scott.</w:t>
      </w:r>
    </w:p>
    <w:p w14:paraId="2BBC776A" w14:textId="4A190A0C" w:rsidR="00BE6DB5" w:rsidRPr="00EC3269" w:rsidRDefault="00BE6DB5">
      <w:pPr>
        <w:rPr>
          <w:rFonts w:ascii="Encode Sans ExpandedLight" w:hAnsi="Encode Sans ExpandedLight"/>
          <w:lang w:val="fr-FR"/>
        </w:rPr>
      </w:pPr>
    </w:p>
    <w:p w14:paraId="783DDCE5" w14:textId="77777777" w:rsidR="006A6D23" w:rsidRPr="00EC3269" w:rsidRDefault="006A6D23">
      <w:pPr>
        <w:rPr>
          <w:rFonts w:ascii="Encode Sans ExpandedLight" w:hAnsi="Encode Sans ExpandedLight"/>
          <w:lang w:val="fr-FR"/>
        </w:rPr>
      </w:pPr>
    </w:p>
    <w:p w14:paraId="785030A7" w14:textId="60171D56" w:rsidR="00BE6DB5" w:rsidRPr="004A5E97" w:rsidRDefault="00CF3B88" w:rsidP="00294139">
      <w:pPr>
        <w:spacing w:after="360" w:line="288" w:lineRule="auto"/>
        <w:jc w:val="left"/>
        <w:rPr>
          <w:rFonts w:ascii="Encode Sans SemiBold" w:hAnsi="Encode Sans SemiBold" w:cs="Calibri"/>
          <w:i/>
          <w:color w:val="243782" w:themeColor="text2"/>
          <w:sz w:val="18"/>
          <w:szCs w:val="18"/>
          <w:lang w:val="fr-FR"/>
        </w:rPr>
      </w:pPr>
      <w:r w:rsidRPr="004A5E97">
        <w:rPr>
          <w:rFonts w:ascii="Encode Sans SemiBold" w:hAnsi="Encode Sans SemiBold" w:cs="Calibri"/>
          <w:i/>
          <w:color w:val="243782" w:themeColor="text2"/>
          <w:sz w:val="18"/>
          <w:szCs w:val="18"/>
          <w:lang w:val="fr-FR"/>
        </w:rPr>
        <w:t>A propos de</w:t>
      </w:r>
      <w:r w:rsidR="00294139" w:rsidRPr="004A5E97">
        <w:rPr>
          <w:rFonts w:ascii="Encode Sans SemiBold" w:hAnsi="Encode Sans SemiBold" w:cs="Calibri"/>
          <w:i/>
          <w:color w:val="243782" w:themeColor="text2"/>
          <w:sz w:val="18"/>
          <w:szCs w:val="18"/>
          <w:lang w:val="fr-FR"/>
        </w:rPr>
        <w:t xml:space="preserve"> </w:t>
      </w:r>
      <w:proofErr w:type="spellStart"/>
      <w:r w:rsidR="00294139" w:rsidRPr="004A5E97">
        <w:rPr>
          <w:rFonts w:ascii="Encode Sans SemiBold" w:hAnsi="Encode Sans SemiBold" w:cs="Calibri"/>
          <w:i/>
          <w:color w:val="243782" w:themeColor="text2"/>
          <w:sz w:val="18"/>
          <w:szCs w:val="18"/>
          <w:lang w:val="fr-FR"/>
        </w:rPr>
        <w:t>Stellantis</w:t>
      </w:r>
      <w:proofErr w:type="spellEnd"/>
    </w:p>
    <w:p w14:paraId="08591E08" w14:textId="09B3B12B" w:rsidR="00AB057B" w:rsidRPr="00454E9D" w:rsidRDefault="00911AF1" w:rsidP="00AB057B">
      <w:pPr>
        <w:rPr>
          <w:rFonts w:ascii="Encode Sans ExpandedLight" w:eastAsia="Calibri" w:hAnsi="Encode Sans ExpandedLight" w:cs="Times New Roman"/>
          <w:i/>
          <w:sz w:val="18"/>
          <w:szCs w:val="18"/>
          <w:lang w:val="fr-FR"/>
        </w:rPr>
      </w:pPr>
      <w:hyperlink r:id="rId8" w:history="1">
        <w:proofErr w:type="spellStart"/>
        <w:r w:rsidR="00AB057B" w:rsidRPr="00454E9D">
          <w:rPr>
            <w:rStyle w:val="Collegamentoipertestuale"/>
            <w:rFonts w:ascii="Encode Sans ExpandedLight" w:hAnsi="Encode Sans ExpandedLight" w:cs="Calibri"/>
            <w:b/>
            <w:i/>
            <w:sz w:val="18"/>
            <w:szCs w:val="18"/>
            <w:lang w:val="fr-FR"/>
          </w:rPr>
          <w:t>Stellantis</w:t>
        </w:r>
        <w:proofErr w:type="spellEnd"/>
      </w:hyperlink>
      <w:r w:rsidR="00AB057B" w:rsidRPr="00454E9D">
        <w:rPr>
          <w:rStyle w:val="Collegamentoipertestuale"/>
          <w:rFonts w:ascii="Encode Sans ExpandedLight" w:hAnsi="Encode Sans ExpandedLight" w:cs="Calibri"/>
          <w:b/>
          <w:i/>
          <w:sz w:val="18"/>
          <w:szCs w:val="18"/>
          <w:lang w:val="fr-FR"/>
        </w:rPr>
        <w:t xml:space="preserve"> </w:t>
      </w:r>
      <w:r w:rsidR="00AB057B" w:rsidRPr="00454E9D">
        <w:rPr>
          <w:rFonts w:ascii="Encode Sans ExpandedLight" w:eastAsia="Calibri" w:hAnsi="Encode Sans ExpandedLight" w:cs="Times New Roman"/>
          <w:i/>
          <w:sz w:val="18"/>
          <w:szCs w:val="18"/>
          <w:lang w:val="fr-FR"/>
        </w:rPr>
        <w:t xml:space="preserve">est l’un des leaders mondiaux de l’automobile et un fournisseur de mobilité, guidé par une vision claire : offrir la liberté de circulation avec des solutions de mobilité spécifiques, abordables et fiables. Outre son riche patrimoine et sa </w:t>
      </w:r>
      <w:r w:rsidR="008C5078" w:rsidRPr="00686039">
        <w:rPr>
          <w:rFonts w:ascii="Encode Sans ExpandedLight" w:eastAsia="Calibri" w:hAnsi="Encode Sans ExpandedLight" w:cs="Times New Roman"/>
          <w:i/>
          <w:sz w:val="18"/>
          <w:szCs w:val="18"/>
          <w:lang w:val="fr-FR"/>
        </w:rPr>
        <w:t>présence géographique</w:t>
      </w:r>
      <w:r w:rsidR="00686039" w:rsidRPr="00686039">
        <w:rPr>
          <w:rFonts w:ascii="Encode Sans ExpandedLight" w:eastAsia="Calibri" w:hAnsi="Encode Sans ExpandedLight" w:cs="Times New Roman"/>
          <w:i/>
          <w:sz w:val="18"/>
          <w:szCs w:val="18"/>
          <w:lang w:val="fr-FR"/>
        </w:rPr>
        <w:t xml:space="preserve"> de premier plan</w:t>
      </w:r>
      <w:r w:rsidR="008C5078" w:rsidRPr="00686039">
        <w:rPr>
          <w:rFonts w:ascii="Encode Sans ExpandedLight" w:eastAsia="Calibri" w:hAnsi="Encode Sans ExpandedLight" w:cs="Times New Roman"/>
          <w:i/>
          <w:sz w:val="18"/>
          <w:szCs w:val="18"/>
          <w:lang w:val="fr-FR"/>
        </w:rPr>
        <w:t xml:space="preserve">, </w:t>
      </w:r>
      <w:r w:rsidR="00AB057B" w:rsidRPr="00454E9D">
        <w:rPr>
          <w:rFonts w:ascii="Encode Sans ExpandedLight" w:eastAsia="Calibri" w:hAnsi="Encode Sans ExpandedLight" w:cs="Times New Roman"/>
          <w:i/>
          <w:sz w:val="18"/>
          <w:szCs w:val="18"/>
          <w:lang w:val="fr-FR"/>
        </w:rPr>
        <w:t xml:space="preserve">le Groupe possède des atouts majeurs : une performance durable, une expérience approfondie et un grand nombre de collaborateurs travaillant dans le monde entier. </w:t>
      </w:r>
      <w:proofErr w:type="spellStart"/>
      <w:r w:rsidR="00AB057B" w:rsidRPr="00454E9D">
        <w:rPr>
          <w:rFonts w:ascii="Encode Sans ExpandedLight" w:eastAsia="Calibri" w:hAnsi="Encode Sans ExpandedLight" w:cs="Times New Roman"/>
          <w:i/>
          <w:sz w:val="18"/>
          <w:szCs w:val="18"/>
          <w:lang w:val="fr-FR"/>
        </w:rPr>
        <w:t>Stellantis</w:t>
      </w:r>
      <w:proofErr w:type="spellEnd"/>
      <w:r w:rsidR="00AB057B" w:rsidRPr="00454E9D">
        <w:rPr>
          <w:rFonts w:ascii="Encode Sans ExpandedLight" w:eastAsia="Calibri" w:hAnsi="Encode Sans ExpandedLight" w:cs="Times New Roman"/>
          <w:i/>
          <w:sz w:val="18"/>
          <w:szCs w:val="18"/>
          <w:lang w:val="fr-FR"/>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AB057B" w:rsidRPr="00454E9D">
        <w:rPr>
          <w:rFonts w:ascii="Encode Sans ExpandedLight" w:eastAsia="Calibri" w:hAnsi="Encode Sans ExpandedLight" w:cs="Times New Roman"/>
          <w:i/>
          <w:sz w:val="18"/>
          <w:szCs w:val="18"/>
          <w:lang w:val="fr-FR"/>
        </w:rPr>
        <w:t>Stellantis</w:t>
      </w:r>
      <w:proofErr w:type="spellEnd"/>
      <w:r w:rsidR="00AB057B" w:rsidRPr="00454E9D">
        <w:rPr>
          <w:rFonts w:ascii="Encode Sans ExpandedLight" w:eastAsia="Calibri" w:hAnsi="Encode Sans ExpandedLight" w:cs="Times New Roman"/>
          <w:i/>
          <w:sz w:val="18"/>
          <w:szCs w:val="18"/>
          <w:lang w:val="fr-FR"/>
        </w:rPr>
        <w:t xml:space="preserve"> aspire à devenir le meilleur, et non le plus grand, tout en créant de la valeur ajoutée pour toutes les parties prenantes ainsi que pour les communautés dans lesquelles il opère.</w:t>
      </w:r>
    </w:p>
    <w:p w14:paraId="6D0F7085" w14:textId="77777777" w:rsidR="00AB057B" w:rsidRPr="00AB057B" w:rsidRDefault="00AB057B" w:rsidP="00CF3B88">
      <w:pPr>
        <w:spacing w:after="160" w:line="259" w:lineRule="auto"/>
        <w:rPr>
          <w:rFonts w:ascii="Encode Sans ExpandedLight" w:eastAsia="Calibri" w:hAnsi="Encode Sans ExpandedLight" w:cs="Calibri"/>
          <w:i/>
          <w:sz w:val="18"/>
          <w:szCs w:val="18"/>
          <w:lang w:val="fr-FR"/>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CF3B88" w:rsidRPr="00454E9D" w14:paraId="69057602" w14:textId="77777777" w:rsidTr="00F1676E">
        <w:tc>
          <w:tcPr>
            <w:tcW w:w="2265" w:type="dxa"/>
            <w:vAlign w:val="bottom"/>
          </w:tcPr>
          <w:p w14:paraId="6CA86145" w14:textId="09FEB50F" w:rsidR="00CF3B88" w:rsidRPr="00454E9D" w:rsidRDefault="00D727BC" w:rsidP="00F1676E">
            <w:pPr>
              <w:jc w:val="center"/>
              <w:rPr>
                <w:rFonts w:ascii="Encode Sans ExpandedLight" w:eastAsia="Calibri" w:hAnsi="Encode Sans ExpandedLight" w:cs="Times New Roman"/>
              </w:rPr>
            </w:pPr>
            <w:hyperlink r:id="rId9" w:history="1">
              <w:r w:rsidR="00F1676E" w:rsidRPr="00454E9D">
                <w:rPr>
                  <w:rFonts w:ascii="Encode Sans ExpandedLight" w:hAnsi="Encode Sans ExpandedLight"/>
                  <w:sz w:val="16"/>
                  <w:szCs w:val="16"/>
                </w:rPr>
                <w:object w:dxaOrig="2265" w:dyaOrig="2250" w14:anchorId="4A5D6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0" o:title=""/>
                  </v:shape>
                  <o:OLEObject Type="Embed" ProgID="PBrush" ShapeID="_x0000_i1025" DrawAspect="Content" ObjectID="_1672413801" r:id="rId11"/>
                </w:object>
              </w:r>
            </w:hyperlink>
            <w:bookmarkStart w:id="0" w:name="_GoBack"/>
            <w:bookmarkEnd w:id="0"/>
            <w:r w:rsidR="00CF3B88" w:rsidRPr="00454E9D">
              <w:rPr>
                <w:rFonts w:ascii="Encode Sans ExpandedLight" w:eastAsia="Calibri" w:hAnsi="Encode Sans ExpandedLight" w:cs="Times New Roman"/>
                <w:sz w:val="20"/>
              </w:rPr>
              <w:t>@</w:t>
            </w:r>
            <w:proofErr w:type="spellStart"/>
            <w:r w:rsidR="00CF3B88" w:rsidRPr="00454E9D">
              <w:rPr>
                <w:rFonts w:ascii="Encode Sans ExpandedLight" w:eastAsia="Calibri" w:hAnsi="Encode Sans ExpandedLight" w:cs="Times New Roman"/>
                <w:sz w:val="20"/>
              </w:rPr>
              <w:t>Stellantis</w:t>
            </w:r>
            <w:proofErr w:type="spellEnd"/>
          </w:p>
        </w:tc>
        <w:tc>
          <w:tcPr>
            <w:tcW w:w="2265" w:type="dxa"/>
            <w:vAlign w:val="bottom"/>
          </w:tcPr>
          <w:p w14:paraId="12A87DCB" w14:textId="383FA4BA" w:rsidR="00CF3B88" w:rsidRPr="00454E9D" w:rsidRDefault="00911AF1" w:rsidP="00F1676E">
            <w:pPr>
              <w:jc w:val="center"/>
              <w:rPr>
                <w:rFonts w:ascii="Encode Sans ExpandedLight" w:eastAsia="Calibri" w:hAnsi="Encode Sans ExpandedLight" w:cs="Times New Roman"/>
              </w:rPr>
            </w:pPr>
            <w:hyperlink r:id="rId12" w:history="1">
              <w:r w:rsidR="00F1676E" w:rsidRPr="00454E9D">
                <w:rPr>
                  <w:rFonts w:ascii="Encode Sans ExpandedLight" w:hAnsi="Encode Sans ExpandedLight"/>
                  <w:sz w:val="16"/>
                  <w:szCs w:val="16"/>
                </w:rPr>
                <w:object w:dxaOrig="2250" w:dyaOrig="2250" w14:anchorId="431104BD">
                  <v:shape id="_x0000_i1026" type="#_x0000_t75" style="width:21.75pt;height:21.75pt" o:ole="">
                    <v:imagedata r:id="rId13" o:title=""/>
                  </v:shape>
                  <o:OLEObject Type="Embed" ProgID="PBrush" ShapeID="_x0000_i1026" DrawAspect="Content" ObjectID="_1672413802" r:id="rId14"/>
                </w:object>
              </w:r>
            </w:hyperlink>
            <w:proofErr w:type="spellStart"/>
            <w:r w:rsidR="00CF3B88" w:rsidRPr="00454E9D">
              <w:rPr>
                <w:rFonts w:ascii="Encode Sans ExpandedLight" w:eastAsia="Calibri" w:hAnsi="Encode Sans ExpandedLight" w:cs="Times New Roman"/>
                <w:sz w:val="20"/>
              </w:rPr>
              <w:t>Stellantis</w:t>
            </w:r>
            <w:proofErr w:type="spellEnd"/>
          </w:p>
        </w:tc>
        <w:tc>
          <w:tcPr>
            <w:tcW w:w="2266" w:type="dxa"/>
            <w:vAlign w:val="bottom"/>
          </w:tcPr>
          <w:p w14:paraId="64EE939C" w14:textId="3BAE41DE" w:rsidR="00CF3B88" w:rsidRPr="00454E9D" w:rsidRDefault="00911AF1" w:rsidP="00F1676E">
            <w:pPr>
              <w:jc w:val="center"/>
              <w:rPr>
                <w:rFonts w:ascii="Encode Sans ExpandedLight" w:eastAsia="Calibri" w:hAnsi="Encode Sans ExpandedLight" w:cs="Times New Roman"/>
              </w:rPr>
            </w:pPr>
            <w:hyperlink r:id="rId15" w:history="1">
              <w:r w:rsidR="00F1676E" w:rsidRPr="00454E9D">
                <w:rPr>
                  <w:rFonts w:ascii="Encode Sans ExpandedLight" w:hAnsi="Encode Sans ExpandedLight"/>
                  <w:sz w:val="16"/>
                  <w:szCs w:val="16"/>
                </w:rPr>
                <w:object w:dxaOrig="2265" w:dyaOrig="2265" w14:anchorId="43C54464">
                  <v:shape id="_x0000_i1027" type="#_x0000_t75" style="width:21pt;height:21pt" o:ole="">
                    <v:imagedata r:id="rId16" o:title=""/>
                  </v:shape>
                  <o:OLEObject Type="Embed" ProgID="PBrush" ShapeID="_x0000_i1027" DrawAspect="Content" ObjectID="_1672413803" r:id="rId17"/>
                </w:object>
              </w:r>
            </w:hyperlink>
            <w:proofErr w:type="spellStart"/>
            <w:r w:rsidR="00CF3B88" w:rsidRPr="00454E9D">
              <w:rPr>
                <w:rFonts w:ascii="Encode Sans ExpandedLight" w:eastAsia="Calibri" w:hAnsi="Encode Sans ExpandedLight" w:cs="Times New Roman"/>
                <w:sz w:val="20"/>
              </w:rPr>
              <w:t>Stellantis</w:t>
            </w:r>
            <w:proofErr w:type="spellEnd"/>
          </w:p>
        </w:tc>
        <w:tc>
          <w:tcPr>
            <w:tcW w:w="2266" w:type="dxa"/>
            <w:vAlign w:val="bottom"/>
          </w:tcPr>
          <w:p w14:paraId="2FA1B0B9" w14:textId="4A621924" w:rsidR="00CF3B88" w:rsidRPr="00454E9D" w:rsidRDefault="00911AF1" w:rsidP="00F1676E">
            <w:pPr>
              <w:jc w:val="center"/>
              <w:rPr>
                <w:rFonts w:ascii="Encode Sans ExpandedLight" w:eastAsia="Calibri" w:hAnsi="Encode Sans ExpandedLight" w:cs="Times New Roman"/>
              </w:rPr>
            </w:pPr>
            <w:hyperlink r:id="rId18" w:history="1">
              <w:r w:rsidR="00F1676E" w:rsidRPr="00454E9D">
                <w:rPr>
                  <w:rFonts w:ascii="Encode Sans ExpandedLight" w:hAnsi="Encode Sans ExpandedLight"/>
                  <w:sz w:val="16"/>
                  <w:szCs w:val="16"/>
                </w:rPr>
                <w:object w:dxaOrig="2265" w:dyaOrig="2265" w14:anchorId="5F19694E">
                  <v:shape id="_x0000_i1028" type="#_x0000_t75" style="width:23.25pt;height:23.25pt" o:ole="">
                    <v:imagedata r:id="rId19" o:title=""/>
                  </v:shape>
                  <o:OLEObject Type="Embed" ProgID="PBrush" ShapeID="_x0000_i1028" DrawAspect="Content" ObjectID="_1672413804" r:id="rId20"/>
                </w:object>
              </w:r>
            </w:hyperlink>
            <w:hyperlink r:id="rId21" w:history="1">
              <w:proofErr w:type="spellStart"/>
              <w:r w:rsidR="00CF3B88" w:rsidRPr="00454E9D">
                <w:rPr>
                  <w:rFonts w:ascii="Encode Sans ExpandedLight" w:eastAsia="Calibri" w:hAnsi="Encode Sans ExpandedLight" w:cs="Times New Roman"/>
                  <w:sz w:val="20"/>
                </w:rPr>
                <w:t>Stellantis</w:t>
              </w:r>
              <w:proofErr w:type="spellEnd"/>
            </w:hyperlink>
          </w:p>
        </w:tc>
      </w:tr>
    </w:tbl>
    <w:p w14:paraId="5B61608F" w14:textId="347105B9" w:rsidR="00CF3B88" w:rsidRPr="00322996" w:rsidRDefault="00CF3B88">
      <w:pPr>
        <w:jc w:val="left"/>
        <w:rPr>
          <w:rFonts w:ascii="Encode Sans Expanded" w:hAnsi="Encode Sans Expanded"/>
          <w:i/>
          <w:sz w:val="18"/>
        </w:rPr>
      </w:pPr>
    </w:p>
    <w:p w14:paraId="7CE46389" w14:textId="77777777" w:rsidR="0086416D" w:rsidRPr="00322996" w:rsidRDefault="0086416D">
      <w:pPr>
        <w:rPr>
          <w:rFonts w:ascii="Encode Sans Expanded" w:hAnsi="Encode Sans Expanded"/>
          <w:i/>
          <w:sz w:val="18"/>
        </w:rPr>
      </w:pPr>
    </w:p>
    <w:p w14:paraId="41C22EFB" w14:textId="452FE862" w:rsidR="0086416D" w:rsidRPr="00322996" w:rsidRDefault="00CF3B88">
      <w:pPr>
        <w:rPr>
          <w:rFonts w:ascii="Encode Sans Expanded" w:hAnsi="Encode Sans Expanded"/>
        </w:rPr>
      </w:pPr>
      <w:r w:rsidRPr="00322996">
        <w:rPr>
          <w:rFonts w:ascii="Encode Sans Expanded" w:hAnsi="Encode Sans Expanded"/>
          <w:noProof/>
          <w:color w:val="243782" w:themeColor="text2"/>
          <w:sz w:val="20"/>
          <w:szCs w:val="20"/>
          <w:lang w:val="it-IT" w:eastAsia="it-IT"/>
        </w:rPr>
        <mc:AlternateContent>
          <mc:Choice Requires="wps">
            <w:drawing>
              <wp:inline distT="0" distB="0" distL="0" distR="0" wp14:anchorId="7CBECF62" wp14:editId="3F26E760">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w:pict>
              <v:shape w14:anchorId="22BCB2F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59F2DC87" w14:textId="3EB6E736" w:rsidR="00CF3B88" w:rsidRPr="00322996" w:rsidRDefault="00CF3B88">
      <w:pPr>
        <w:rPr>
          <w:rFonts w:ascii="Encode Sans Expanded" w:hAnsi="Encode Sans Expanded"/>
        </w:rPr>
      </w:pPr>
    </w:p>
    <w:p w14:paraId="09D0EA3F" w14:textId="0E07D32D" w:rsidR="00CF3B88" w:rsidRPr="00322996" w:rsidRDefault="00CF3B88">
      <w:pPr>
        <w:rPr>
          <w:rFonts w:ascii="Encode Sans Expanded" w:hAnsi="Encode Sans Expanded"/>
        </w:rPr>
      </w:pPr>
    </w:p>
    <w:p w14:paraId="349A7C63" w14:textId="267DA0BA" w:rsidR="00C93F12" w:rsidRPr="00EC3269" w:rsidRDefault="00C93F12" w:rsidP="00C93F12">
      <w:pPr>
        <w:spacing w:after="120" w:line="288" w:lineRule="auto"/>
        <w:jc w:val="left"/>
        <w:rPr>
          <w:rFonts w:ascii="Encode Sans SemiBold" w:hAnsi="Encode Sans SemiBold"/>
          <w:color w:val="243782" w:themeColor="text2"/>
          <w:sz w:val="20"/>
          <w:szCs w:val="20"/>
          <w:lang w:val="fr-FR"/>
        </w:rPr>
      </w:pPr>
      <w:r w:rsidRPr="00EC3269">
        <w:rPr>
          <w:rFonts w:ascii="Encode Sans SemiBold" w:hAnsi="Encode Sans SemiBold"/>
          <w:color w:val="243782" w:themeColor="text2"/>
          <w:sz w:val="20"/>
          <w:szCs w:val="20"/>
          <w:lang w:val="fr-FR"/>
        </w:rPr>
        <w:t xml:space="preserve">Pour plus </w:t>
      </w:r>
      <w:proofErr w:type="gramStart"/>
      <w:r w:rsidR="0096042B" w:rsidRPr="00EC3269">
        <w:rPr>
          <w:rFonts w:ascii="Encode Sans SemiBold" w:hAnsi="Encode Sans SemiBold"/>
          <w:color w:val="243782" w:themeColor="text2"/>
          <w:sz w:val="20"/>
          <w:szCs w:val="20"/>
          <w:lang w:val="fr-FR"/>
        </w:rPr>
        <w:t>d’informations:</w:t>
      </w:r>
      <w:proofErr w:type="gramEnd"/>
    </w:p>
    <w:p w14:paraId="25A2B36A" w14:textId="77777777" w:rsidR="00C93F12" w:rsidRPr="00EC3269" w:rsidRDefault="00C93F12" w:rsidP="00C93F12">
      <w:pPr>
        <w:rPr>
          <w:rFonts w:ascii="Encode Sans ExpandedLight" w:eastAsia="Calibri" w:hAnsi="Encode Sans ExpandedLight"/>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EC3269" w:rsidRPr="00D727BC" w14:paraId="75A43B87" w14:textId="77777777" w:rsidTr="00322996">
        <w:trPr>
          <w:trHeight w:val="571"/>
        </w:trPr>
        <w:tc>
          <w:tcPr>
            <w:tcW w:w="7655" w:type="dxa"/>
          </w:tcPr>
          <w:p w14:paraId="66C02DA7" w14:textId="1CB19567" w:rsidR="00EC3269" w:rsidRPr="00EC3269" w:rsidRDefault="00EC3269" w:rsidP="00EC3269">
            <w:pPr>
              <w:rPr>
                <w:rStyle w:val="Testosegnaposto"/>
                <w:rFonts w:ascii="Encode Sans SemiBold" w:hAnsi="Encode Sans SemiBold"/>
                <w:color w:val="243782" w:themeColor="text2"/>
                <w:sz w:val="20"/>
                <w:szCs w:val="20"/>
                <w:lang w:val="fr-FR"/>
              </w:rPr>
            </w:pPr>
            <w:r w:rsidRPr="004A5E97">
              <w:rPr>
                <w:rStyle w:val="Testosegnaposto"/>
                <w:rFonts w:ascii="Encode Sans SemiBold" w:hAnsi="Encode Sans SemiBold"/>
                <w:color w:val="243782" w:themeColor="text2"/>
                <w:sz w:val="20"/>
                <w:szCs w:val="20"/>
                <w:lang w:val="fr-FR"/>
              </w:rPr>
              <w:t xml:space="preserve">Claudio </w:t>
            </w:r>
            <w:proofErr w:type="gramStart"/>
            <w:r w:rsidRPr="004A5E97">
              <w:rPr>
                <w:rStyle w:val="Testosegnaposto"/>
                <w:rFonts w:ascii="Encode Sans SemiBold" w:hAnsi="Encode Sans SemiBold"/>
                <w:color w:val="243782" w:themeColor="text2"/>
                <w:sz w:val="20"/>
                <w:szCs w:val="20"/>
                <w:lang w:val="fr-FR"/>
              </w:rPr>
              <w:t>D’AMICO</w:t>
            </w:r>
            <w:r w:rsidRPr="00454E9D">
              <w:rPr>
                <w:rStyle w:val="Testosegnaposto"/>
                <w:rFonts w:ascii="Encode Sans ExpandedLight" w:hAnsi="Encode Sans ExpandedLight"/>
                <w:color w:val="243782" w:themeColor="text2"/>
                <w:sz w:val="20"/>
                <w:szCs w:val="20"/>
                <w:lang w:val="fr-FR"/>
              </w:rPr>
              <w:t>:</w:t>
            </w:r>
            <w:proofErr w:type="gramEnd"/>
            <w:r w:rsidRPr="00454E9D">
              <w:rPr>
                <w:rStyle w:val="Testosegnaposto"/>
                <w:rFonts w:ascii="Encode Sans ExpandedLight" w:hAnsi="Encode Sans ExpandedLight"/>
                <w:color w:val="243782" w:themeColor="text2"/>
                <w:sz w:val="20"/>
                <w:szCs w:val="20"/>
                <w:lang w:val="fr-FR"/>
              </w:rPr>
              <w:t xml:space="preserve"> +39 334 7107828 - </w:t>
            </w:r>
            <w:hyperlink r:id="rId22" w:history="1">
              <w:r w:rsidRPr="00454E9D">
                <w:rPr>
                  <w:rStyle w:val="Collegamentoipertestuale"/>
                  <w:rFonts w:ascii="Encode Sans ExpandedLight" w:hAnsi="Encode Sans ExpandedLight"/>
                  <w:sz w:val="20"/>
                  <w:szCs w:val="20"/>
                  <w:lang w:val="fr-FR"/>
                </w:rPr>
                <w:t>claudio.damico@stellantis.com</w:t>
              </w:r>
            </w:hyperlink>
          </w:p>
        </w:tc>
      </w:tr>
      <w:tr w:rsidR="00EC3269" w:rsidRPr="0072192A" w14:paraId="256936EC" w14:textId="77777777" w:rsidTr="00322996">
        <w:trPr>
          <w:trHeight w:val="602"/>
        </w:trPr>
        <w:tc>
          <w:tcPr>
            <w:tcW w:w="7655" w:type="dxa"/>
          </w:tcPr>
          <w:p w14:paraId="7B4182CF" w14:textId="73730A81" w:rsidR="00EC3269" w:rsidRPr="00454E9D" w:rsidRDefault="00EC3269" w:rsidP="00EC3269">
            <w:pPr>
              <w:spacing w:after="120" w:line="288" w:lineRule="auto"/>
              <w:jc w:val="left"/>
              <w:rPr>
                <w:rStyle w:val="Testosegnaposto"/>
                <w:rFonts w:ascii="Encode Sans ExpandedLight" w:hAnsi="Encode Sans ExpandedLight"/>
                <w:b/>
                <w:color w:val="243782" w:themeColor="text2"/>
                <w:sz w:val="20"/>
                <w:szCs w:val="20"/>
                <w:lang w:val="fr-FR"/>
              </w:rPr>
            </w:pPr>
            <w:r w:rsidRPr="004A5E97">
              <w:rPr>
                <w:rFonts w:ascii="Encode Sans SemiBold" w:hAnsi="Encode Sans SemiBold"/>
                <w:color w:val="243782" w:themeColor="text2"/>
                <w:sz w:val="20"/>
                <w:szCs w:val="20"/>
                <w:lang w:val="fr-FR"/>
              </w:rPr>
              <w:t xml:space="preserve">Karine </w:t>
            </w:r>
            <w:proofErr w:type="gramStart"/>
            <w:r w:rsidRPr="004A5E97">
              <w:rPr>
                <w:rFonts w:ascii="Encode Sans SemiBold" w:hAnsi="Encode Sans SemiBold"/>
                <w:color w:val="243782" w:themeColor="text2"/>
                <w:sz w:val="20"/>
                <w:szCs w:val="20"/>
                <w:lang w:val="fr-FR"/>
              </w:rPr>
              <w:t>DOUET</w:t>
            </w:r>
            <w:r w:rsidRPr="00454E9D">
              <w:rPr>
                <w:rFonts w:ascii="Encode Sans ExpandedLight" w:hAnsi="Encode Sans ExpandedLight"/>
                <w:b/>
                <w:color w:val="243782" w:themeColor="text2"/>
                <w:sz w:val="20"/>
                <w:szCs w:val="20"/>
                <w:lang w:val="fr-FR"/>
              </w:rPr>
              <w:t>:</w:t>
            </w:r>
            <w:proofErr w:type="gramEnd"/>
            <w:r w:rsidRPr="00454E9D">
              <w:rPr>
                <w:rFonts w:ascii="Encode Sans ExpandedLight" w:hAnsi="Encode Sans ExpandedLight"/>
                <w:b/>
                <w:color w:val="243782" w:themeColor="text2"/>
                <w:sz w:val="20"/>
                <w:szCs w:val="20"/>
                <w:lang w:val="fr-FR"/>
              </w:rPr>
              <w:t xml:space="preserve"> </w:t>
            </w:r>
            <w:r w:rsidRPr="00454E9D">
              <w:rPr>
                <w:rFonts w:ascii="Encode Sans ExpandedLight" w:hAnsi="Encode Sans ExpandedLight"/>
                <w:color w:val="243782" w:themeColor="text2"/>
                <w:sz w:val="20"/>
                <w:szCs w:val="20"/>
                <w:lang w:val="fr-FR"/>
              </w:rPr>
              <w:t>+33 6 61 64 03 83 -</w:t>
            </w:r>
            <w:hyperlink r:id="rId23" w:history="1">
              <w:r w:rsidRPr="00454E9D">
                <w:rPr>
                  <w:rFonts w:ascii="Encode Sans ExpandedLight" w:hAnsi="Encode Sans ExpandedLight"/>
                  <w:color w:val="243782" w:themeColor="text2"/>
                  <w:sz w:val="20"/>
                  <w:szCs w:val="20"/>
                  <w:lang w:val="fr-FR"/>
                </w:rPr>
                <w:t>karine.douet@stellantis.com</w:t>
              </w:r>
            </w:hyperlink>
          </w:p>
        </w:tc>
      </w:tr>
      <w:tr w:rsidR="00EC3269" w:rsidRPr="00454E9D" w14:paraId="66848252" w14:textId="77777777" w:rsidTr="00322996">
        <w:trPr>
          <w:trHeight w:val="548"/>
        </w:trPr>
        <w:tc>
          <w:tcPr>
            <w:tcW w:w="7655" w:type="dxa"/>
          </w:tcPr>
          <w:p w14:paraId="275890AC" w14:textId="72348112" w:rsidR="00EC3269" w:rsidRPr="00454E9D" w:rsidRDefault="00EC3269" w:rsidP="00EC3269">
            <w:pPr>
              <w:spacing w:after="120" w:line="288" w:lineRule="auto"/>
              <w:jc w:val="left"/>
              <w:rPr>
                <w:rStyle w:val="Testosegnaposto"/>
                <w:rFonts w:ascii="Encode Sans ExpandedLight" w:hAnsi="Encode Sans ExpandedLight"/>
                <w:b/>
                <w:color w:val="243782" w:themeColor="text2"/>
                <w:sz w:val="20"/>
                <w:szCs w:val="20"/>
                <w:lang w:val="fr-FR"/>
              </w:rPr>
            </w:pPr>
            <w:proofErr w:type="spellStart"/>
            <w:r w:rsidRPr="004A5E97">
              <w:rPr>
                <w:rFonts w:ascii="Encode Sans SemiBold" w:hAnsi="Encode Sans SemiBold"/>
                <w:color w:val="243782" w:themeColor="text2"/>
                <w:sz w:val="20"/>
                <w:szCs w:val="20"/>
              </w:rPr>
              <w:t>Valérie</w:t>
            </w:r>
            <w:proofErr w:type="spellEnd"/>
            <w:r w:rsidRPr="004A5E97">
              <w:rPr>
                <w:rFonts w:ascii="Encode Sans SemiBold" w:hAnsi="Encode Sans SemiBold"/>
                <w:color w:val="243782" w:themeColor="text2"/>
                <w:sz w:val="20"/>
                <w:szCs w:val="20"/>
              </w:rPr>
              <w:t xml:space="preserve"> GILLOT:</w:t>
            </w:r>
            <w:r w:rsidRPr="00454E9D">
              <w:rPr>
                <w:rFonts w:ascii="Encode Sans ExpandedLight" w:hAnsi="Encode Sans ExpandedLight"/>
                <w:b/>
                <w:color w:val="243782" w:themeColor="text2"/>
                <w:sz w:val="20"/>
                <w:szCs w:val="20"/>
              </w:rPr>
              <w:t xml:space="preserve"> </w:t>
            </w:r>
            <w:r w:rsidRPr="00454E9D">
              <w:rPr>
                <w:rFonts w:ascii="Encode Sans ExpandedLight" w:hAnsi="Encode Sans ExpandedLight"/>
                <w:color w:val="243782" w:themeColor="text2"/>
                <w:sz w:val="20"/>
                <w:szCs w:val="20"/>
                <w:lang w:val="fr-FR"/>
              </w:rPr>
              <w:t xml:space="preserve">+33 6 83 92 92 96 - </w:t>
            </w:r>
            <w:hyperlink r:id="rId24" w:history="1">
              <w:r w:rsidRPr="00454E9D">
                <w:rPr>
                  <w:rFonts w:ascii="Encode Sans ExpandedLight" w:hAnsi="Encode Sans ExpandedLight"/>
                  <w:color w:val="243782" w:themeColor="text2"/>
                  <w:sz w:val="20"/>
                  <w:szCs w:val="20"/>
                  <w:lang w:val="fr-FR"/>
                </w:rPr>
                <w:t>valerie.gillot@stellantis.com</w:t>
              </w:r>
            </w:hyperlink>
          </w:p>
        </w:tc>
      </w:tr>
      <w:tr w:rsidR="00EC3269" w:rsidRPr="00EC3269" w14:paraId="5309F05A" w14:textId="77777777" w:rsidTr="00322996">
        <w:trPr>
          <w:trHeight w:val="71"/>
        </w:trPr>
        <w:tc>
          <w:tcPr>
            <w:tcW w:w="7655" w:type="dxa"/>
          </w:tcPr>
          <w:p w14:paraId="2BF0A8EC" w14:textId="463F0C72" w:rsidR="00EC3269" w:rsidRPr="00EC3269" w:rsidRDefault="00EC3269" w:rsidP="00EC3269">
            <w:pPr>
              <w:rPr>
                <w:rStyle w:val="Testosegnaposto"/>
                <w:rFonts w:ascii="Encode Sans ExpandedLight" w:hAnsi="Encode Sans ExpandedLight"/>
                <w:color w:val="243782" w:themeColor="text2"/>
                <w:sz w:val="20"/>
                <w:szCs w:val="20"/>
                <w:lang w:val="en-GB"/>
              </w:rPr>
            </w:pPr>
            <w:r w:rsidRPr="004A5E97">
              <w:rPr>
                <w:rStyle w:val="Testosegnaposto"/>
                <w:rFonts w:ascii="Encode Sans SemiBold" w:hAnsi="Encode Sans SemiBold"/>
                <w:color w:val="243782" w:themeColor="text2"/>
                <w:sz w:val="20"/>
                <w:szCs w:val="20"/>
              </w:rPr>
              <w:t>Shawn MORGAN:</w:t>
            </w:r>
            <w:r w:rsidRPr="00454E9D">
              <w:rPr>
                <w:rStyle w:val="Testosegnaposto"/>
                <w:rFonts w:ascii="Encode Sans ExpandedLight" w:hAnsi="Encode Sans ExpandedLight"/>
                <w:b/>
                <w:color w:val="243782" w:themeColor="text2"/>
                <w:sz w:val="20"/>
                <w:szCs w:val="20"/>
              </w:rPr>
              <w:t xml:space="preserve"> </w:t>
            </w:r>
            <w:r w:rsidRPr="00454E9D">
              <w:rPr>
                <w:rStyle w:val="Testosegnaposto"/>
                <w:rFonts w:ascii="Encode Sans ExpandedLight" w:hAnsi="Encode Sans ExpandedLight"/>
                <w:color w:val="243782" w:themeColor="text2"/>
                <w:sz w:val="20"/>
                <w:szCs w:val="20"/>
              </w:rPr>
              <w:t xml:space="preserve">+1 248 760 2621 - </w:t>
            </w:r>
            <w:hyperlink r:id="rId25" w:history="1">
              <w:r w:rsidRPr="00454E9D">
                <w:rPr>
                  <w:rStyle w:val="Testosegnaposto"/>
                  <w:rFonts w:ascii="Encode Sans ExpandedLight" w:hAnsi="Encode Sans ExpandedLight"/>
                  <w:color w:val="243782" w:themeColor="text2"/>
                  <w:sz w:val="20"/>
                  <w:szCs w:val="20"/>
                </w:rPr>
                <w:t>shawn.morgan@stellantis.com</w:t>
              </w:r>
            </w:hyperlink>
          </w:p>
        </w:tc>
      </w:tr>
      <w:tr w:rsidR="00EC3269" w:rsidRPr="00EC3269" w14:paraId="20F9B8B4" w14:textId="77777777" w:rsidTr="00322996">
        <w:trPr>
          <w:trHeight w:val="227"/>
        </w:trPr>
        <w:tc>
          <w:tcPr>
            <w:tcW w:w="7655" w:type="dxa"/>
          </w:tcPr>
          <w:p w14:paraId="3F567ED1" w14:textId="77777777" w:rsidR="00EC3269" w:rsidRPr="00EC3269" w:rsidRDefault="00EC3269" w:rsidP="00EC3269">
            <w:pPr>
              <w:rPr>
                <w:rFonts w:ascii="Encode Sans ExpandedLight" w:hAnsi="Encode Sans ExpandedLight"/>
                <w:b/>
                <w:sz w:val="20"/>
                <w:lang w:val="en-GB"/>
              </w:rPr>
            </w:pPr>
          </w:p>
        </w:tc>
      </w:tr>
    </w:tbl>
    <w:p w14:paraId="0B265FF4" w14:textId="46938D2D" w:rsidR="00A242CE" w:rsidRPr="00454E9D" w:rsidRDefault="00911AF1">
      <w:pPr>
        <w:jc w:val="left"/>
        <w:rPr>
          <w:rFonts w:ascii="Encode Sans ExpandedLight" w:hAnsi="Encode Sans ExpandedLight"/>
          <w:color w:val="243782" w:themeColor="text2"/>
          <w:sz w:val="20"/>
          <w:szCs w:val="20"/>
          <w:lang w:val="fr-FR"/>
        </w:rPr>
      </w:pPr>
      <w:hyperlink r:id="rId26" w:history="1">
        <w:r w:rsidR="00CF3B88" w:rsidRPr="00454E9D">
          <w:rPr>
            <w:rStyle w:val="Collegamentoipertestuale"/>
            <w:rFonts w:ascii="Encode Sans ExpandedLight" w:hAnsi="Encode Sans ExpandedLight"/>
            <w:sz w:val="20"/>
            <w:szCs w:val="20"/>
            <w:lang w:val="fr-FR"/>
          </w:rPr>
          <w:t>www.stellantis.com</w:t>
        </w:r>
      </w:hyperlink>
    </w:p>
    <w:p w14:paraId="00CE17E9" w14:textId="6D10B145" w:rsidR="00CF3B88" w:rsidRPr="00454E9D" w:rsidRDefault="00CF3B88">
      <w:pPr>
        <w:jc w:val="left"/>
        <w:rPr>
          <w:rFonts w:ascii="Encode Sans ExpandedLight" w:hAnsi="Encode Sans ExpandedLight"/>
          <w:color w:val="243782" w:themeColor="text2"/>
          <w:sz w:val="20"/>
          <w:szCs w:val="20"/>
          <w:lang w:val="fr-FR"/>
        </w:rPr>
      </w:pPr>
    </w:p>
    <w:p w14:paraId="346D9BCE" w14:textId="77777777" w:rsidR="00CF3B88" w:rsidRPr="00454E9D" w:rsidRDefault="00CF3B88">
      <w:pPr>
        <w:jc w:val="left"/>
        <w:rPr>
          <w:rFonts w:ascii="Encode Sans ExpandedLight" w:hAnsi="Encode Sans ExpandedLight"/>
          <w:lang w:val="fr-FR"/>
        </w:rPr>
      </w:pPr>
    </w:p>
    <w:p w14:paraId="454C4B5C" w14:textId="2B9ABA79" w:rsidR="003C401D" w:rsidRPr="004A5E97" w:rsidRDefault="00853A97" w:rsidP="003C401D">
      <w:pPr>
        <w:pStyle w:val="STITLE"/>
        <w:rPr>
          <w:rFonts w:ascii="Encode Sans SemiBold" w:hAnsi="Encode Sans SemiBold"/>
          <w:bCs/>
          <w:lang w:val="fr-FR"/>
        </w:rPr>
      </w:pPr>
      <w:r w:rsidRPr="004A5E97">
        <w:rPr>
          <w:rFonts w:ascii="Encode Sans SemiBold" w:hAnsi="Encode Sans SemiBold"/>
          <w:bCs/>
          <w:lang w:val="fr-FR"/>
        </w:rPr>
        <w:t>DECLARATIONS PROSPECTIVES</w:t>
      </w:r>
    </w:p>
    <w:p w14:paraId="2A1057A9" w14:textId="77777777" w:rsidR="003D33F6" w:rsidRPr="00454E9D" w:rsidRDefault="003D33F6" w:rsidP="003D33F6">
      <w:pPr>
        <w:spacing w:before="100" w:beforeAutospacing="1" w:after="100" w:afterAutospacing="1"/>
        <w:rPr>
          <w:rFonts w:ascii="Encode Sans ExpandedLight" w:hAnsi="Encode Sans ExpandedLight" w:cs="Arial"/>
          <w:bCs/>
          <w:i/>
          <w:sz w:val="18"/>
          <w:lang w:val="fr-FR"/>
        </w:rPr>
      </w:pPr>
      <w:r w:rsidRPr="00454E9D">
        <w:rPr>
          <w:rFonts w:ascii="Encode Sans ExpandedLight" w:hAnsi="Encode Sans ExpandedLight" w:cs="Arial"/>
          <w:bCs/>
          <w:i/>
          <w:sz w:val="18"/>
          <w:lang w:val="fr-FR"/>
        </w:rPr>
        <w:t>Ce document contient des déclarations prospectives. En particulier, ces déclarations prospectives comprennent des déclarations concernant les performances financières futures et les attentes du groupe combiné (le « Groupe ») résultant de la fusion de FCA et du Groupe PSA quant à la réalisation de certaines mesures cibles à toute date future ou pour toute période future sont des déclarations prospectives. Ces déclarations peuvent inclure des termes tels que « peut », « sera », « s’attendre », « pourrait », « devrait », « avoir l’intention », « estimer », « anticiper », « croire », « rester », « sur la bonne voie », « conception », « cible », « objectif », « objectif », « prévision », « projection », « perspectives », « perspectives », « plan » ou des termes similaires. Les déclarations prospectives ne sont pas des garanties de performances futures. Ils sont plutôt fondés sur l’état actuel des connaissances du Groupe, les attentes futures et les projections concernant les événements futurs et sont par nature soumis à des risques et des incertitudes inhérents. Ils se rapportent à des événements et dépendent de circonstances qui peuvent ou non se produire ou exister à l’avenir et, à ce titre, il convient de ne pas leur accorder une confiance excessive.</w:t>
      </w:r>
    </w:p>
    <w:p w14:paraId="27ED0031" w14:textId="00FB3239" w:rsidR="00A63AFB" w:rsidRPr="00454E9D" w:rsidRDefault="003D33F6" w:rsidP="003D33F6">
      <w:pPr>
        <w:spacing w:before="100" w:beforeAutospacing="1" w:after="100" w:afterAutospacing="1"/>
        <w:rPr>
          <w:rFonts w:ascii="Encode Sans ExpandedLight" w:hAnsi="Encode Sans ExpandedLight" w:cs="Arial"/>
          <w:bCs/>
          <w:i/>
          <w:sz w:val="18"/>
          <w:lang w:val="fr-FR"/>
        </w:rPr>
      </w:pPr>
      <w:proofErr w:type="gramStart"/>
      <w:r w:rsidRPr="00454E9D">
        <w:rPr>
          <w:rFonts w:ascii="Encode Sans ExpandedLight" w:hAnsi="Encode Sans ExpandedLight" w:cs="Arial"/>
          <w:bCs/>
          <w:i/>
          <w:sz w:val="18"/>
          <w:lang w:val="fr-FR"/>
        </w:rPr>
        <w:t xml:space="preserve">Les résultats réels peuvent différer sensiblement de ceux exprimés dans les déclarations prospectives en raison de divers facteurs, notamment : l’impact de la pandémie de Covid-19 ; la capacité du Groupe à lancer avec succès de nouveaux produits et maintenir les volumes de livraison de véhicules ; les évolutions des marchés financiers mondiaux, de l’environnement économique général et de la demande de produits automobiles, qui sont susceptibles d’être cycliques ; les changements de conditions économiques ou politiques locales, les changements en matière de politique commerciale et d’imposition de tarifs mondiaux et régionaux ou de tarifs ciblant l’industrie automobile, à la promulgation de réformes fiscales ou d’autres changements dans les lois et réglementations fiscales ; la capacité du Groupe à étendre certaines de leurs marques à l’échelle mondiale, à proposer des produits innovants et attractifs, à développer, fabriquer et vendre des véhicules dotés de fonctionnalités avancées, notamment des caractéristiques d’électrification, de connectivité et de conduite autonome améliorées ; divers types de réclamations, poursuites, enquêtes gouvernementales et autres éventualités, y compris des réclamations en matière de responsabilité du fait des produits, des réclamations en matière de garantie et les réclamations, enquêtes et poursuites environnementales ; les dépenses d’exploitation importantes liées au respect des réglementations en matière d’environnement, de santé et de sécurité ; l’intense niveau de concurrence dans l’industrie automobile, qui pourrait augmenter en raison de la consolidation ; l’exposition aux insuffisances de financement des régimes de retraite à prestations définies du Groupe ; la capacité à fournir ou organiser l’accès à un financement adéquat pour les concessionnaires et les clients de détail et les risques associés liés à la création et à l’exploitation de sociétés de services financiers ; la possibilité d’accéder à des financements pour exécuter les plans d’affaires du Groupe et renforcer ses activités, sa situation financière et son résultat d’exploitation ; un dysfonctionnement important, une perturbation ou une violation de la sécurité </w:t>
      </w:r>
      <w:r w:rsidRPr="00454E9D">
        <w:rPr>
          <w:rFonts w:ascii="Encode Sans ExpandedLight" w:hAnsi="Encode Sans ExpandedLight" w:cs="Arial"/>
          <w:bCs/>
          <w:i/>
          <w:sz w:val="18"/>
          <w:lang w:val="fr-FR"/>
        </w:rPr>
        <w:lastRenderedPageBreak/>
        <w:t>compromettant les systèmes informatiques ou les systèmes de contrôle électronique contenus dans les véhicules du Groupe ; la capacité du Groupe à atteindre les résultats attendus des accords de coentreprise ; les perturbations résultant de l’instabilité politique, sociale et économique ; les risques associés à nos relations avec les employés, les concessionnaires et les fournisseurs ; les augmentation des coûts, interruptions d’approvisionnement ou pénuries de matières premières ; l’évolution des relations de travail et des relations industrielles et l’évolution du droit du travail applicable ; les fluctuations des taux de change, les variations des taux d’intérêt, le risque de crédit et les autres risques de marché ; des troubles civils ou politiques ; des tremblements de terre et autres catastrophes ; le risque que les activités du Groupe PSA et de FCA ne soient pas intégrées avec succès et d’autres risques et incertitudes.</w:t>
      </w:r>
      <w:proofErr w:type="gramEnd"/>
    </w:p>
    <w:p w14:paraId="12EB3810" w14:textId="6674338A" w:rsidR="00853A97" w:rsidRPr="00454E9D" w:rsidRDefault="003D33F6" w:rsidP="00853A97">
      <w:pPr>
        <w:spacing w:before="100" w:beforeAutospacing="1" w:after="100" w:afterAutospacing="1"/>
        <w:rPr>
          <w:rFonts w:ascii="Encode Sans ExpandedLight" w:hAnsi="Encode Sans ExpandedLight" w:cs="Arial"/>
          <w:bCs/>
          <w:i/>
          <w:sz w:val="18"/>
          <w:lang w:val="fr-FR"/>
        </w:rPr>
      </w:pPr>
      <w:r w:rsidRPr="00657A63">
        <w:rPr>
          <w:rFonts w:ascii="Encode Sans ExpandedLight" w:hAnsi="Encode Sans ExpandedLight" w:cs="Arial"/>
          <w:bCs/>
          <w:i/>
          <w:sz w:val="18"/>
          <w:lang w:val="fr-FR"/>
        </w:rPr>
        <w:t xml:space="preserve">Toute déclaration prospective contenue dans la présente communication n’est valable qu’à la date du présent document et les parties déclinent toute obligation de mettre à jour ou de réviser publiquement les déclarations prospectives. </w:t>
      </w:r>
      <w:proofErr w:type="gramStart"/>
      <w:r w:rsidRPr="00657A63">
        <w:rPr>
          <w:rFonts w:ascii="Encode Sans ExpandedLight" w:hAnsi="Encode Sans ExpandedLight" w:cs="Arial"/>
          <w:bCs/>
          <w:i/>
          <w:sz w:val="18"/>
          <w:lang w:val="fr-FR"/>
        </w:rPr>
        <w:t>De plus amples informations concernant le Groupe, y compris les facteurs qui pourraient affecter de manière significative les résultats financiers du Groupe, sont incluses dans les rapports et autres documents déposés par FCA auprès de la Securities and Exchange Commission des Etats-Unis (la « SEC ») (y compris la déclaration d’enregistrement sur formulaire F-4 qui a été déclarée effective par la SEC le 20 novembre 2020), de l’AFM et de la CONSOB et des documents déposés par PSA auprès de l’AMF.</w:t>
      </w:r>
      <w:proofErr w:type="gramEnd"/>
    </w:p>
    <w:sectPr w:rsidR="00853A97" w:rsidRPr="00454E9D" w:rsidSect="00BE6DB5">
      <w:footerReference w:type="default" r:id="rId27"/>
      <w:headerReference w:type="first" r:id="rId28"/>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A56E0" w14:textId="77777777" w:rsidR="00911AF1" w:rsidRDefault="00911AF1" w:rsidP="005F2120">
      <w:r>
        <w:separator/>
      </w:r>
    </w:p>
  </w:endnote>
  <w:endnote w:type="continuationSeparator" w:id="0">
    <w:p w14:paraId="1B4F93DD" w14:textId="77777777" w:rsidR="00911AF1" w:rsidRDefault="00911AF1"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015B3D34-7B26-48B0-BC96-26ECC52C100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2" w:fontKey="{9819A969-F6B0-48F9-9649-C4AAA1F4D4BD}"/>
    <w:embedBold r:id="rId3" w:fontKey="{F655EF1A-5B12-4F6F-9309-12F6B4B60098}"/>
    <w:embedItalic r:id="rId4" w:fontKey="{CB27287C-064B-4C1F-8C0A-4E45F20D2BC2}"/>
    <w:embedBoldItalic r:id="rId5" w:fontKey="{4F3BFCA7-085C-4166-BC6A-88D166B1FDD3}"/>
  </w:font>
  <w:font w:name="Encode Sans SemiBold">
    <w:panose1 w:val="00000000000000000000"/>
    <w:charset w:val="00"/>
    <w:family w:val="auto"/>
    <w:pitch w:val="variable"/>
    <w:sig w:usb0="A00000FF" w:usb1="4000207B" w:usb2="00000000" w:usb3="00000000" w:csb0="00000193" w:csb1="00000000"/>
    <w:embedRegular r:id="rId6" w:fontKey="{D8764372-EE56-4198-A99B-30C88B756A33}"/>
    <w:embedItalic r:id="rId7" w:fontKey="{593F0F1C-3A2B-4BD3-A121-DC733AAE8F65}"/>
  </w:font>
  <w:font w:name="Arial (Body CS)">
    <w:charset w:val="00"/>
    <w:family w:val="roman"/>
    <w:pitch w:val="default"/>
  </w:font>
  <w:font w:name="___WRD_EMBED_SUB_338">
    <w:altName w:val="Times New Roman"/>
    <w:charset w:val="00"/>
    <w:family w:val="auto"/>
    <w:pitch w:val="default"/>
  </w:font>
  <w:font w:name="Encode Sans Expanded">
    <w:altName w:val="Courier New"/>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0ED5BA27"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D727BC">
      <w:rPr>
        <w:rStyle w:val="Numeropagina"/>
        <w:noProof/>
      </w:rPr>
      <w:t>3</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03F65" w14:textId="77777777" w:rsidR="00911AF1" w:rsidRDefault="00911AF1" w:rsidP="005F2120">
      <w:r>
        <w:separator/>
      </w:r>
    </w:p>
  </w:footnote>
  <w:footnote w:type="continuationSeparator" w:id="0">
    <w:p w14:paraId="4BFEF8FB" w14:textId="77777777" w:rsidR="00911AF1" w:rsidRDefault="00911AF1"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sidRPr="00A33E8D">
      <w:rPr>
        <w:noProof/>
        <w:lang w:val="it-IT" w:eastAsia="it-IT"/>
      </w:rPr>
      <mc:AlternateContent>
        <mc:Choice Requires="wpg">
          <w:drawing>
            <wp:anchor distT="0" distB="0" distL="114300" distR="114300" simplePos="0" relativeHeight="251660288" behindDoc="1" locked="1" layoutInCell="1" allowOverlap="1" wp14:anchorId="6255285E" wp14:editId="1BD247B2">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27249DB6" w:rsidR="00A33E8D" w:rsidRPr="004A5E97" w:rsidRDefault="00322996" w:rsidP="00A33E8D">
                            <w:pPr>
                              <w:jc w:val="left"/>
                              <w:rPr>
                                <w:rFonts w:ascii="Encode Sans ExpandedLight" w:hAnsi="Encode Sans ExpandedLight"/>
                                <w:color w:val="FFFFFF" w:themeColor="background1"/>
                                <w:sz w:val="20"/>
                                <w:szCs w:val="23"/>
                              </w:rPr>
                            </w:pPr>
                            <w:r w:rsidRPr="004A5E97">
                              <w:rPr>
                                <w:rFonts w:ascii="Encode Sans ExpandedLight" w:hAnsi="Encode Sans ExpandedLight"/>
                                <w:color w:val="FFFFFF" w:themeColor="background1"/>
                                <w:sz w:val="20"/>
                                <w:szCs w:val="23"/>
                              </w:rPr>
                              <w:t>COMMUNNIQU</w:t>
                            </w:r>
                            <w:r w:rsidRPr="004A5E97">
                              <w:rPr>
                                <w:rFonts w:ascii="Encode Sans ExpandedLight" w:hAnsi="Encode Sans ExpandedLight" w:cs="Courier New"/>
                                <w:color w:val="FFFFFF" w:themeColor="background1"/>
                                <w:sz w:val="20"/>
                                <w:szCs w:val="23"/>
                              </w:rPr>
                              <w:t>É</w:t>
                            </w:r>
                            <w:r w:rsidR="00CF3B88" w:rsidRPr="004A5E97">
                              <w:rPr>
                                <w:rFonts w:ascii="Encode Sans ExpandedLight" w:hAnsi="Encode Sans ExpandedLight"/>
                                <w:color w:val="FFFFFF" w:themeColor="background1"/>
                                <w:sz w:val="20"/>
                                <w:szCs w:val="23"/>
                              </w:rPr>
                              <w:t xml:space="preserve"> DE PRESE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27249DB6" w:rsidR="00A33E8D" w:rsidRPr="004A5E97" w:rsidRDefault="00322996" w:rsidP="00A33E8D">
                      <w:pPr>
                        <w:jc w:val="left"/>
                        <w:rPr>
                          <w:rFonts w:ascii="Encode Sans ExpandedLight" w:hAnsi="Encode Sans ExpandedLight"/>
                          <w:color w:val="FFFFFF" w:themeColor="background1"/>
                          <w:sz w:val="20"/>
                          <w:szCs w:val="23"/>
                        </w:rPr>
                      </w:pPr>
                      <w:r w:rsidRPr="004A5E97">
                        <w:rPr>
                          <w:rFonts w:ascii="Encode Sans ExpandedLight" w:hAnsi="Encode Sans ExpandedLight"/>
                          <w:color w:val="FFFFFF" w:themeColor="background1"/>
                          <w:sz w:val="20"/>
                          <w:szCs w:val="23"/>
                        </w:rPr>
                        <w:t>COMMUNNIQU</w:t>
                      </w:r>
                      <w:r w:rsidRPr="004A5E97">
                        <w:rPr>
                          <w:rFonts w:ascii="Encode Sans ExpandedLight" w:hAnsi="Encode Sans ExpandedLight" w:cs="Courier New"/>
                          <w:color w:val="FFFFFF" w:themeColor="background1"/>
                          <w:sz w:val="20"/>
                          <w:szCs w:val="23"/>
                        </w:rPr>
                        <w:t>É</w:t>
                      </w:r>
                      <w:r w:rsidR="00CF3B88" w:rsidRPr="004A5E97">
                        <w:rPr>
                          <w:rFonts w:ascii="Encode Sans ExpandedLight" w:hAnsi="Encode Sans ExpandedLight"/>
                          <w:color w:val="FFFFFF" w:themeColor="background1"/>
                          <w:sz w:val="20"/>
                          <w:szCs w:val="23"/>
                        </w:rPr>
                        <w:t xml:space="preserve"> DE PRESE</w:t>
                      </w:r>
                    </w:p>
                  </w:txbxContent>
                </v:textbox>
              </v:shape>
              <w10:wrap anchorx="page" anchory="page"/>
              <w10:anchorlock/>
            </v:group>
          </w:pict>
        </mc:Fallback>
      </mc:AlternateContent>
    </w:r>
    <w:r w:rsidR="005F2120">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E411E7"/>
    <w:multiLevelType w:val="hybridMultilevel"/>
    <w:tmpl w:val="EC784E24"/>
    <w:lvl w:ilvl="0" w:tplc="871831D2">
      <w:numFmt w:val="bullet"/>
      <w:lvlText w:val="-"/>
      <w:lvlJc w:val="left"/>
      <w:pPr>
        <w:ind w:left="1276" w:hanging="360"/>
      </w:pPr>
      <w:rPr>
        <w:rFonts w:ascii="Arial" w:eastAsiaTheme="minorHAnsi" w:hAnsi="Arial" w:cs="Aria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11"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1656F"/>
    <w:rsid w:val="00022145"/>
    <w:rsid w:val="00041C1B"/>
    <w:rsid w:val="00044201"/>
    <w:rsid w:val="00076F38"/>
    <w:rsid w:val="00087566"/>
    <w:rsid w:val="00087581"/>
    <w:rsid w:val="000B36BE"/>
    <w:rsid w:val="000E1A0C"/>
    <w:rsid w:val="00133001"/>
    <w:rsid w:val="001915E8"/>
    <w:rsid w:val="001A26E5"/>
    <w:rsid w:val="001B272D"/>
    <w:rsid w:val="001B4263"/>
    <w:rsid w:val="001B591C"/>
    <w:rsid w:val="001D444B"/>
    <w:rsid w:val="002159D0"/>
    <w:rsid w:val="002632FE"/>
    <w:rsid w:val="00273C6F"/>
    <w:rsid w:val="002836DD"/>
    <w:rsid w:val="00293E0C"/>
    <w:rsid w:val="00294139"/>
    <w:rsid w:val="002C4082"/>
    <w:rsid w:val="002C409D"/>
    <w:rsid w:val="002C508D"/>
    <w:rsid w:val="002F0B82"/>
    <w:rsid w:val="002F19BC"/>
    <w:rsid w:val="002F4229"/>
    <w:rsid w:val="00307156"/>
    <w:rsid w:val="00316465"/>
    <w:rsid w:val="00322996"/>
    <w:rsid w:val="00324B6F"/>
    <w:rsid w:val="00352F73"/>
    <w:rsid w:val="003864AD"/>
    <w:rsid w:val="003A5D8C"/>
    <w:rsid w:val="003C401D"/>
    <w:rsid w:val="003D33F6"/>
    <w:rsid w:val="003D5352"/>
    <w:rsid w:val="003E68CC"/>
    <w:rsid w:val="003E6D1D"/>
    <w:rsid w:val="003F4716"/>
    <w:rsid w:val="004022B4"/>
    <w:rsid w:val="00404F80"/>
    <w:rsid w:val="004132EE"/>
    <w:rsid w:val="004205A7"/>
    <w:rsid w:val="00425677"/>
    <w:rsid w:val="00426D37"/>
    <w:rsid w:val="00433EDD"/>
    <w:rsid w:val="0044219E"/>
    <w:rsid w:val="0045216F"/>
    <w:rsid w:val="00454E9D"/>
    <w:rsid w:val="004626A2"/>
    <w:rsid w:val="004729DF"/>
    <w:rsid w:val="004A2B09"/>
    <w:rsid w:val="004A430E"/>
    <w:rsid w:val="004A5E97"/>
    <w:rsid w:val="004D4EBE"/>
    <w:rsid w:val="004D61EA"/>
    <w:rsid w:val="004D6FF4"/>
    <w:rsid w:val="004E62BF"/>
    <w:rsid w:val="004E720B"/>
    <w:rsid w:val="00521368"/>
    <w:rsid w:val="00542A43"/>
    <w:rsid w:val="00544345"/>
    <w:rsid w:val="00585CE1"/>
    <w:rsid w:val="005948AC"/>
    <w:rsid w:val="00594C18"/>
    <w:rsid w:val="005A2170"/>
    <w:rsid w:val="005C775F"/>
    <w:rsid w:val="005F0E22"/>
    <w:rsid w:val="005F2120"/>
    <w:rsid w:val="00601013"/>
    <w:rsid w:val="0061682B"/>
    <w:rsid w:val="00616BE1"/>
    <w:rsid w:val="00617D06"/>
    <w:rsid w:val="006270B2"/>
    <w:rsid w:val="00646166"/>
    <w:rsid w:val="00655A10"/>
    <w:rsid w:val="00657A63"/>
    <w:rsid w:val="00665C9F"/>
    <w:rsid w:val="00666243"/>
    <w:rsid w:val="00682310"/>
    <w:rsid w:val="006826F0"/>
    <w:rsid w:val="00686039"/>
    <w:rsid w:val="006A5907"/>
    <w:rsid w:val="006A6D23"/>
    <w:rsid w:val="006B5C7E"/>
    <w:rsid w:val="006D5640"/>
    <w:rsid w:val="006E27BF"/>
    <w:rsid w:val="00700861"/>
    <w:rsid w:val="00715E1D"/>
    <w:rsid w:val="0072192A"/>
    <w:rsid w:val="00725625"/>
    <w:rsid w:val="00726427"/>
    <w:rsid w:val="007429B6"/>
    <w:rsid w:val="00762AF5"/>
    <w:rsid w:val="0078134D"/>
    <w:rsid w:val="00791C5C"/>
    <w:rsid w:val="00794C89"/>
    <w:rsid w:val="0079511E"/>
    <w:rsid w:val="007A46E2"/>
    <w:rsid w:val="007A52B6"/>
    <w:rsid w:val="007B1AE9"/>
    <w:rsid w:val="007B47BC"/>
    <w:rsid w:val="007D5DA4"/>
    <w:rsid w:val="007E317D"/>
    <w:rsid w:val="0080313B"/>
    <w:rsid w:val="00805FAA"/>
    <w:rsid w:val="008124BD"/>
    <w:rsid w:val="00815B14"/>
    <w:rsid w:val="00834408"/>
    <w:rsid w:val="00844956"/>
    <w:rsid w:val="00851429"/>
    <w:rsid w:val="00853A97"/>
    <w:rsid w:val="00863AE2"/>
    <w:rsid w:val="0086416D"/>
    <w:rsid w:val="00877117"/>
    <w:rsid w:val="008A1635"/>
    <w:rsid w:val="008B4CD5"/>
    <w:rsid w:val="008C5078"/>
    <w:rsid w:val="008D5816"/>
    <w:rsid w:val="008E6450"/>
    <w:rsid w:val="008F0F07"/>
    <w:rsid w:val="008F2A13"/>
    <w:rsid w:val="008F7163"/>
    <w:rsid w:val="00911AF1"/>
    <w:rsid w:val="00952DA4"/>
    <w:rsid w:val="0096042B"/>
    <w:rsid w:val="00992178"/>
    <w:rsid w:val="00992BE1"/>
    <w:rsid w:val="009968C5"/>
    <w:rsid w:val="009A23AB"/>
    <w:rsid w:val="009D180E"/>
    <w:rsid w:val="009D205D"/>
    <w:rsid w:val="009D4862"/>
    <w:rsid w:val="009F7379"/>
    <w:rsid w:val="009F7A92"/>
    <w:rsid w:val="00A10F6D"/>
    <w:rsid w:val="00A242CE"/>
    <w:rsid w:val="00A24479"/>
    <w:rsid w:val="00A33E8D"/>
    <w:rsid w:val="00A51C07"/>
    <w:rsid w:val="00A63AFB"/>
    <w:rsid w:val="00A71966"/>
    <w:rsid w:val="00A87390"/>
    <w:rsid w:val="00A95CDE"/>
    <w:rsid w:val="00AA0F19"/>
    <w:rsid w:val="00AA6F62"/>
    <w:rsid w:val="00AB057B"/>
    <w:rsid w:val="00B13A02"/>
    <w:rsid w:val="00B27CF6"/>
    <w:rsid w:val="00B32F4C"/>
    <w:rsid w:val="00B451AD"/>
    <w:rsid w:val="00B51FC8"/>
    <w:rsid w:val="00B56F08"/>
    <w:rsid w:val="00B64010"/>
    <w:rsid w:val="00B64F18"/>
    <w:rsid w:val="00B71D1F"/>
    <w:rsid w:val="00B92FB1"/>
    <w:rsid w:val="00B948ED"/>
    <w:rsid w:val="00BA5B54"/>
    <w:rsid w:val="00BC02D7"/>
    <w:rsid w:val="00BC154B"/>
    <w:rsid w:val="00BC19DA"/>
    <w:rsid w:val="00BE6DB5"/>
    <w:rsid w:val="00C10E75"/>
    <w:rsid w:val="00C21B90"/>
    <w:rsid w:val="00C31F14"/>
    <w:rsid w:val="00C6005C"/>
    <w:rsid w:val="00C60A64"/>
    <w:rsid w:val="00C63CC0"/>
    <w:rsid w:val="00C93F12"/>
    <w:rsid w:val="00CC064F"/>
    <w:rsid w:val="00CD556C"/>
    <w:rsid w:val="00CF3B88"/>
    <w:rsid w:val="00D00262"/>
    <w:rsid w:val="00D11FB9"/>
    <w:rsid w:val="00D12EEC"/>
    <w:rsid w:val="00D265D9"/>
    <w:rsid w:val="00D3384B"/>
    <w:rsid w:val="00D35611"/>
    <w:rsid w:val="00D5456A"/>
    <w:rsid w:val="00D54C2A"/>
    <w:rsid w:val="00D665AE"/>
    <w:rsid w:val="00D727BC"/>
    <w:rsid w:val="00D72E4E"/>
    <w:rsid w:val="00D74118"/>
    <w:rsid w:val="00D92963"/>
    <w:rsid w:val="00D95FC1"/>
    <w:rsid w:val="00DA27E1"/>
    <w:rsid w:val="00DB1346"/>
    <w:rsid w:val="00DE72B9"/>
    <w:rsid w:val="00E039AB"/>
    <w:rsid w:val="00E05FC9"/>
    <w:rsid w:val="00E3102A"/>
    <w:rsid w:val="00E54FC6"/>
    <w:rsid w:val="00EA5430"/>
    <w:rsid w:val="00EB13F7"/>
    <w:rsid w:val="00EC3269"/>
    <w:rsid w:val="00EE25B8"/>
    <w:rsid w:val="00EF4409"/>
    <w:rsid w:val="00F03AE5"/>
    <w:rsid w:val="00F058CA"/>
    <w:rsid w:val="00F1676E"/>
    <w:rsid w:val="00F233A0"/>
    <w:rsid w:val="00F32B81"/>
    <w:rsid w:val="00F3717F"/>
    <w:rsid w:val="00F453A4"/>
    <w:rsid w:val="00F4733E"/>
    <w:rsid w:val="00F524A0"/>
    <w:rsid w:val="00F5284E"/>
    <w:rsid w:val="00FC2085"/>
    <w:rsid w:val="00FC5732"/>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rPr>
      <w:lang w:val="en-US"/>
    </w:r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val="fr-FR"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lang w:val="en-GB"/>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en-GB"/>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en-US"/>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en-US"/>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en-US"/>
    </w:rPr>
  </w:style>
  <w:style w:type="table" w:customStyle="1" w:styleId="Grilledutableau2">
    <w:name w:val="Grille du tableau2"/>
    <w:basedOn w:val="Tabellanormale"/>
    <w:next w:val="Grigliatabella"/>
    <w:uiPriority w:val="39"/>
    <w:rsid w:val="00CF3B8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853A97"/>
    <w:pPr>
      <w:jc w:val="left"/>
    </w:pPr>
    <w:rPr>
      <w:rFonts w:ascii="Calibri" w:hAnsi="Calibri"/>
      <w:sz w:val="22"/>
      <w:szCs w:val="21"/>
      <w:lang w:val="fr-FR"/>
    </w:rPr>
  </w:style>
  <w:style w:type="character" w:customStyle="1" w:styleId="TestonormaleCarattere">
    <w:name w:val="Testo normale Carattere"/>
    <w:basedOn w:val="Carpredefinitoparagrafo"/>
    <w:link w:val="Testonormale"/>
    <w:uiPriority w:val="99"/>
    <w:rsid w:val="00853A9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30200576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06348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image" Target="media/image2.png"/><Relationship Id="rId18" Type="http://schemas.openxmlformats.org/officeDocument/2006/relationships/hyperlink" Target="https://www.youtube.com/channel/UCKgSLvI1SYKOTpEToycAz7Q" TargetMode="External"/><Relationship Id="rId26" Type="http://schemas.openxmlformats.org/officeDocument/2006/relationships/hyperlink" Target="http://www.stellantis.com" TargetMode="External"/><Relationship Id="rId3" Type="http://schemas.openxmlformats.org/officeDocument/2006/relationships/settings" Target="settings.xml"/><Relationship Id="rId21" Type="http://schemas.openxmlformats.org/officeDocument/2006/relationships/hyperlink" Target="https://www.youtube.com/channel/UCKgSLvI1SYKOTpEToycAz7Q" TargetMode="External"/><Relationship Id="rId7" Type="http://schemas.openxmlformats.org/officeDocument/2006/relationships/hyperlink" Target="http://www.stellantis.com/fr/group/governance/leadership" TargetMode="External"/><Relationship Id="rId12" Type="http://schemas.openxmlformats.org/officeDocument/2006/relationships/hyperlink" Target="https://www.facebook.com/Stellantis" TargetMode="External"/><Relationship Id="rId17" Type="http://schemas.openxmlformats.org/officeDocument/2006/relationships/oleObject" Target="embeddings/oleObject3.bin"/><Relationship Id="rId25" Type="http://schemas.openxmlformats.org/officeDocument/2006/relationships/hyperlink" Target="mailto:shawn.morgan@stellantis.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mailto:valerie.gillot@stellantis.com" TargetMode="External"/><Relationship Id="rId5" Type="http://schemas.openxmlformats.org/officeDocument/2006/relationships/footnotes" Target="footnotes.xml"/><Relationship Id="rId15" Type="http://schemas.openxmlformats.org/officeDocument/2006/relationships/hyperlink" Target="https://www.linkedin.com/company/Stellantis" TargetMode="External"/><Relationship Id="rId23" Type="http://schemas.openxmlformats.org/officeDocument/2006/relationships/hyperlink" Target="mailto:karine.douet@stellantis.com"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twitter.com/stellantis" TargetMode="External"/><Relationship Id="rId14" Type="http://schemas.openxmlformats.org/officeDocument/2006/relationships/oleObject" Target="embeddings/oleObject2.bin"/><Relationship Id="rId22" Type="http://schemas.openxmlformats.org/officeDocument/2006/relationships/hyperlink" Target="mailto:claudio.damico@stellantis.com" TargetMode="External"/><Relationship Id="rId27" Type="http://schemas.openxmlformats.org/officeDocument/2006/relationships/footer" Target="foot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A4 v1</Template>
  <TotalTime>1</TotalTime>
  <Pages>3</Pages>
  <Words>1311</Words>
  <Characters>7477</Characters>
  <Application>Microsoft Office Word</Application>
  <DocSecurity>0</DocSecurity>
  <Lines>62</Lines>
  <Paragraphs>17</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3</cp:revision>
  <dcterms:created xsi:type="dcterms:W3CDTF">2021-01-17T17:34:00Z</dcterms:created>
  <dcterms:modified xsi:type="dcterms:W3CDTF">2021-01-17T17:37:00Z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