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16D" w:rsidRDefault="0086416D" w:rsidP="0002070C"/>
    <w:p w:rsidR="000C3559" w:rsidRDefault="000C3559" w:rsidP="0002070C"/>
    <w:p w:rsidR="000C3559" w:rsidRDefault="000C3559" w:rsidP="0002070C"/>
    <w:p w:rsidR="000C3559" w:rsidRDefault="000C3559" w:rsidP="0002070C"/>
    <w:p w:rsidR="000C3559" w:rsidRDefault="000C3559" w:rsidP="0002070C"/>
    <w:p w:rsidR="000C3559" w:rsidRPr="0082786D" w:rsidRDefault="000C3559" w:rsidP="0002070C"/>
    <w:p w:rsidR="000C3559" w:rsidRPr="00CF2E3A" w:rsidRDefault="00FB4171" w:rsidP="000C3559">
      <w:pPr>
        <w:pStyle w:val="SSubject"/>
        <w:spacing w:before="0" w:after="0"/>
        <w:contextualSpacing w:val="0"/>
        <w:rPr>
          <w:sz w:val="24"/>
          <w:lang w:val="en-GB" w:eastAsia="it-IT"/>
        </w:rPr>
      </w:pPr>
      <w:r w:rsidRPr="009C3063">
        <w:rPr>
          <w:sz w:val="24"/>
          <w:lang w:eastAsia="fr-FR"/>
        </w:rPr>
        <mc:AlternateContent>
          <mc:Choice Requires="wps">
            <w:drawing>
              <wp:anchor distT="0" distB="0" distL="114300" distR="114300" simplePos="0" relativeHeight="251658240" behindDoc="0" locked="1" layoutInCell="1" allowOverlap="1" wp14:anchorId="6FA2DA32" wp14:editId="3B9F2391">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3867333"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KzfgpvdAAAABwEAAA8AAABkcnMv&#10;ZG93bnJldi54bWxMj8FOwzAQRO9I/IO1SNyoQ1UcGuJUERJSxQW1cODoxNskIl5HttsGvp7lRI87&#10;M5p5W25mN4oThjh40nC/yEAgtd4O1Gn4eH+5ewQRkyFrRk+o4RsjbKrrq9IU1p9ph6d96gSXUCyM&#10;hj6lqZAytj06Exd+QmLv4IMzic/QSRvMmcvdKJdZpqQzA/FCbyZ87rH92h+dht1W1dsw0Wv9tpLN&#10;p1znP9HkWt/ezPUTiIRz+g/DHz6jQ8VMjT+SjWLUwI8kDUulViDYVnkOomEhVw8gq1Je8le/AAAA&#10;//8DAFBLAQItABQABgAIAAAAIQC2gziS/gAAAOEBAAATAAAAAAAAAAAAAAAAAAAAAABbQ29udGVu&#10;dF9UeXBlc10ueG1sUEsBAi0AFAAGAAgAAAAhADj9If/WAAAAlAEAAAsAAAAAAAAAAAAAAAAALwEA&#10;AF9yZWxzLy5yZWxzUEsBAi0AFAAGAAgAAAAhADr55NqHAwAAjQgAAA4AAAAAAAAAAAAAAAAALgIA&#10;AGRycy9lMm9Eb2MueG1sUEsBAi0AFAAGAAgAAAAhAKzfgpvdAAAABwEAAA8AAAAAAAAAAAAAAAAA&#10;4QUAAGRycy9kb3ducmV2LnhtbFBLBQYAAAAABAAEAPMAAADrBgAAAAA=&#10;" path="m329,39l,39,27,,354,,329,39xe" fillcolor="#243782 [3204]" stroked="f">
                <v:path arrowok="t" o:connecttype="custom" o:connectlocs="399417,64008;0,64008;32779,0;429768,0;399417,64008" o:connectangles="0,0,0,0,0"/>
                <w10:wrap anchorx="margin" anchory="page"/>
                <w10:anchorlock/>
              </v:shape>
            </w:pict>
          </mc:Fallback>
        </mc:AlternateContent>
      </w:r>
      <w:bookmarkStart w:id="0" w:name="_Hlk61784730"/>
      <w:sdt>
        <w:sdtPr>
          <w:rPr>
            <w:sz w:val="24"/>
            <w:lang w:eastAsia="it-IT"/>
          </w:rPr>
          <w:id w:val="-1124843631"/>
          <w:placeholder>
            <w:docPart w:val="C1560355552A44AA9415A0192F930735"/>
          </w:placeholder>
          <w15:appearance w15:val="hidden"/>
        </w:sdtPr>
        <w:sdtEndPr/>
        <w:sdtContent>
          <w:bookmarkEnd w:id="0"/>
          <w:r w:rsidR="00087197" w:rsidRPr="00087197">
            <w:rPr>
              <w:sz w:val="24"/>
              <w:lang w:val="en-GB" w:eastAsia="it-IT"/>
            </w:rPr>
            <w:t xml:space="preserve">Stellantis Celebrates 12 </w:t>
          </w:r>
          <w:r w:rsidR="009363B2">
            <w:rPr>
              <w:sz w:val="24"/>
              <w:lang w:val="en-GB" w:eastAsia="it-IT"/>
            </w:rPr>
            <w:t>Business</w:t>
          </w:r>
          <w:r w:rsidR="00087197" w:rsidRPr="00087197">
            <w:rPr>
              <w:sz w:val="24"/>
              <w:lang w:val="en-GB" w:eastAsia="it-IT"/>
            </w:rPr>
            <w:t xml:space="preserve"> Partners </w:t>
          </w:r>
          <w:r w:rsidR="009363B2">
            <w:rPr>
              <w:sz w:val="24"/>
              <w:lang w:val="en-GB" w:eastAsia="it-IT"/>
            </w:rPr>
            <w:t xml:space="preserve">at </w:t>
          </w:r>
          <w:bookmarkStart w:id="1" w:name="_GoBack"/>
          <w:bookmarkEnd w:id="1"/>
          <w:r w:rsidR="00087197" w:rsidRPr="00087197">
            <w:rPr>
              <w:sz w:val="24"/>
              <w:lang w:val="en-GB" w:eastAsia="it-IT"/>
            </w:rPr>
            <w:t xml:space="preserve">First </w:t>
          </w:r>
          <w:r w:rsidR="009363B2">
            <w:rPr>
              <w:sz w:val="24"/>
              <w:lang w:val="en-GB" w:eastAsia="it-IT"/>
            </w:rPr>
            <w:t xml:space="preserve">Supplier </w:t>
          </w:r>
          <w:r w:rsidR="00087197" w:rsidRPr="00087197">
            <w:rPr>
              <w:sz w:val="24"/>
              <w:lang w:val="en-GB" w:eastAsia="it-IT"/>
            </w:rPr>
            <w:t xml:space="preserve">Awards </w:t>
          </w:r>
        </w:sdtContent>
      </w:sdt>
    </w:p>
    <w:p w:rsidR="000C3559" w:rsidRPr="00CF2E3A" w:rsidRDefault="000C3559" w:rsidP="000C3559">
      <w:pPr>
        <w:pStyle w:val="SBullet"/>
        <w:numPr>
          <w:ilvl w:val="0"/>
          <w:numId w:val="0"/>
        </w:numPr>
        <w:rPr>
          <w:sz w:val="21"/>
          <w:szCs w:val="21"/>
          <w:lang w:val="en-GB"/>
        </w:rPr>
      </w:pPr>
    </w:p>
    <w:p w:rsidR="000C3559" w:rsidRPr="00CF2E3A" w:rsidRDefault="000C3559" w:rsidP="000C3559">
      <w:pPr>
        <w:pStyle w:val="SBullet"/>
        <w:numPr>
          <w:ilvl w:val="0"/>
          <w:numId w:val="0"/>
        </w:numPr>
        <w:rPr>
          <w:sz w:val="21"/>
          <w:szCs w:val="21"/>
          <w:lang w:val="en-GB"/>
        </w:rPr>
      </w:pPr>
    </w:p>
    <w:p w:rsidR="000C3559" w:rsidRPr="00CF2E3A" w:rsidRDefault="000C3559" w:rsidP="000C3559">
      <w:pPr>
        <w:pStyle w:val="SBullet"/>
        <w:numPr>
          <w:ilvl w:val="0"/>
          <w:numId w:val="0"/>
        </w:numPr>
        <w:rPr>
          <w:sz w:val="21"/>
          <w:szCs w:val="21"/>
          <w:lang w:val="en-GB"/>
        </w:rPr>
      </w:pPr>
    </w:p>
    <w:p w:rsidR="00CF2E3A" w:rsidRPr="00CF2E3A" w:rsidRDefault="00087197" w:rsidP="00CF2E3A">
      <w:pPr>
        <w:numPr>
          <w:ilvl w:val="0"/>
          <w:numId w:val="12"/>
        </w:numPr>
        <w:rPr>
          <w:rFonts w:asciiTheme="majorHAnsi" w:hAnsiTheme="majorHAnsi"/>
          <w:bCs/>
          <w:sz w:val="21"/>
          <w:szCs w:val="21"/>
          <w:lang w:val="en-US"/>
        </w:rPr>
      </w:pPr>
      <w:r>
        <w:rPr>
          <w:rFonts w:asciiTheme="majorHAnsi" w:hAnsiTheme="majorHAnsi"/>
          <w:bCs/>
          <w:sz w:val="21"/>
          <w:szCs w:val="21"/>
          <w:lang w:val="en-US"/>
        </w:rPr>
        <w:t>A</w:t>
      </w:r>
      <w:r w:rsidR="00CF2E3A" w:rsidRPr="00CF2E3A">
        <w:rPr>
          <w:rFonts w:asciiTheme="majorHAnsi" w:hAnsiTheme="majorHAnsi"/>
          <w:bCs/>
          <w:sz w:val="21"/>
          <w:szCs w:val="21"/>
          <w:lang w:val="en-US"/>
        </w:rPr>
        <w:t>ward recognizes the level of quality, commitment and operational excellence delivered by Stellantis suppliers</w:t>
      </w:r>
    </w:p>
    <w:p w:rsidR="00CF2E3A" w:rsidRPr="00CF2E3A" w:rsidRDefault="004B6675" w:rsidP="00CF2E3A">
      <w:pPr>
        <w:numPr>
          <w:ilvl w:val="0"/>
          <w:numId w:val="12"/>
        </w:numPr>
        <w:rPr>
          <w:rFonts w:asciiTheme="majorHAnsi" w:hAnsiTheme="majorHAnsi"/>
          <w:bCs/>
          <w:sz w:val="21"/>
          <w:szCs w:val="21"/>
          <w:lang w:val="en-US"/>
        </w:rPr>
      </w:pPr>
      <w:r>
        <w:rPr>
          <w:rFonts w:asciiTheme="majorHAnsi" w:hAnsiTheme="majorHAnsi"/>
          <w:bCs/>
          <w:sz w:val="21"/>
          <w:szCs w:val="21"/>
          <w:lang w:val="en-US"/>
        </w:rPr>
        <w:t>Twelve</w:t>
      </w:r>
      <w:r w:rsidR="00CF2E3A" w:rsidRPr="00CF2E3A">
        <w:rPr>
          <w:rFonts w:asciiTheme="majorHAnsi" w:hAnsiTheme="majorHAnsi"/>
          <w:bCs/>
          <w:sz w:val="21"/>
          <w:szCs w:val="21"/>
          <w:lang w:val="en-US"/>
        </w:rPr>
        <w:t xml:space="preserve"> suppliers honored in </w:t>
      </w:r>
      <w:r w:rsidR="00087197">
        <w:rPr>
          <w:rFonts w:asciiTheme="majorHAnsi" w:hAnsiTheme="majorHAnsi"/>
          <w:bCs/>
          <w:sz w:val="21"/>
          <w:szCs w:val="21"/>
          <w:lang w:val="en-US"/>
        </w:rPr>
        <w:t>eight</w:t>
      </w:r>
      <w:r w:rsidR="00CF2E3A" w:rsidRPr="00CF2E3A">
        <w:rPr>
          <w:rFonts w:asciiTheme="majorHAnsi" w:hAnsiTheme="majorHAnsi"/>
          <w:bCs/>
          <w:sz w:val="21"/>
          <w:szCs w:val="21"/>
          <w:lang w:val="en-US"/>
        </w:rPr>
        <w:t xml:space="preserve"> different categories for outstanding performance in 2020, a particularly difficult year for the automotive industry</w:t>
      </w:r>
    </w:p>
    <w:p w:rsidR="000C3559" w:rsidRPr="00087197" w:rsidRDefault="00087197" w:rsidP="004B6675">
      <w:pPr>
        <w:numPr>
          <w:ilvl w:val="0"/>
          <w:numId w:val="12"/>
        </w:numPr>
        <w:rPr>
          <w:sz w:val="21"/>
          <w:szCs w:val="21"/>
          <w:lang w:val="en-US"/>
        </w:rPr>
      </w:pPr>
      <w:r w:rsidRPr="00087197">
        <w:rPr>
          <w:rFonts w:asciiTheme="majorHAnsi" w:hAnsiTheme="majorHAnsi"/>
          <w:bCs/>
          <w:sz w:val="21"/>
          <w:szCs w:val="21"/>
          <w:lang w:val="en-US"/>
        </w:rPr>
        <w:t>V</w:t>
      </w:r>
      <w:r w:rsidR="00CF2E3A" w:rsidRPr="00087197">
        <w:rPr>
          <w:rFonts w:asciiTheme="majorHAnsi" w:hAnsiTheme="majorHAnsi"/>
          <w:bCs/>
          <w:sz w:val="21"/>
          <w:szCs w:val="21"/>
          <w:lang w:val="en-US"/>
        </w:rPr>
        <w:t xml:space="preserve">irtual ceremony </w:t>
      </w:r>
      <w:r w:rsidRPr="00087197">
        <w:rPr>
          <w:rFonts w:asciiTheme="majorHAnsi" w:hAnsiTheme="majorHAnsi"/>
          <w:bCs/>
          <w:sz w:val="21"/>
          <w:szCs w:val="21"/>
          <w:lang w:val="en-US"/>
        </w:rPr>
        <w:t xml:space="preserve">included remarks </w:t>
      </w:r>
      <w:r w:rsidR="00FF3D37" w:rsidRPr="00087197">
        <w:rPr>
          <w:rFonts w:asciiTheme="majorHAnsi" w:hAnsiTheme="majorHAnsi"/>
          <w:bCs/>
          <w:sz w:val="21"/>
          <w:szCs w:val="21"/>
          <w:lang w:val="en-US"/>
        </w:rPr>
        <w:t>from Chief</w:t>
      </w:r>
      <w:r w:rsidR="00B97678">
        <w:rPr>
          <w:rFonts w:asciiTheme="majorHAnsi" w:hAnsiTheme="majorHAnsi"/>
          <w:bCs/>
          <w:sz w:val="21"/>
          <w:szCs w:val="21"/>
          <w:lang w:val="en-US"/>
        </w:rPr>
        <w:t xml:space="preserve"> Executive Officer </w:t>
      </w:r>
      <w:r w:rsidR="00CF2E3A" w:rsidRPr="00B97678">
        <w:rPr>
          <w:rFonts w:asciiTheme="majorHAnsi" w:hAnsiTheme="majorHAnsi"/>
          <w:bCs/>
          <w:sz w:val="21"/>
          <w:szCs w:val="21"/>
          <w:lang w:val="en-US"/>
        </w:rPr>
        <w:t>Carlos Tavares</w:t>
      </w:r>
      <w:r w:rsidR="004B6675">
        <w:rPr>
          <w:rFonts w:asciiTheme="majorHAnsi" w:hAnsiTheme="majorHAnsi"/>
          <w:bCs/>
          <w:sz w:val="21"/>
          <w:szCs w:val="21"/>
          <w:lang w:val="en-US"/>
        </w:rPr>
        <w:t xml:space="preserve"> </w:t>
      </w:r>
      <w:r w:rsidR="00CF2E3A" w:rsidRPr="00B97678">
        <w:rPr>
          <w:rFonts w:asciiTheme="majorHAnsi" w:hAnsiTheme="majorHAnsi"/>
          <w:bCs/>
          <w:sz w:val="21"/>
          <w:szCs w:val="21"/>
          <w:lang w:val="en-US"/>
        </w:rPr>
        <w:t xml:space="preserve">and </w:t>
      </w:r>
      <w:r w:rsidRPr="00B97678">
        <w:rPr>
          <w:rFonts w:asciiTheme="majorHAnsi" w:hAnsiTheme="majorHAnsi"/>
          <w:bCs/>
          <w:sz w:val="21"/>
          <w:szCs w:val="21"/>
          <w:lang w:val="en-US"/>
        </w:rPr>
        <w:t>eight</w:t>
      </w:r>
      <w:r w:rsidR="00B97678">
        <w:rPr>
          <w:rFonts w:asciiTheme="majorHAnsi" w:hAnsiTheme="majorHAnsi"/>
          <w:bCs/>
          <w:sz w:val="21"/>
          <w:szCs w:val="21"/>
          <w:lang w:val="en-US"/>
        </w:rPr>
        <w:t xml:space="preserve"> other Stellantis</w:t>
      </w:r>
      <w:r>
        <w:rPr>
          <w:rFonts w:asciiTheme="majorHAnsi" w:hAnsiTheme="majorHAnsi"/>
          <w:bCs/>
          <w:sz w:val="21"/>
          <w:szCs w:val="21"/>
          <w:lang w:val="en-US"/>
        </w:rPr>
        <w:t xml:space="preserve"> </w:t>
      </w:r>
      <w:r w:rsidR="00B97678">
        <w:rPr>
          <w:rFonts w:asciiTheme="majorHAnsi" w:hAnsiTheme="majorHAnsi"/>
          <w:bCs/>
          <w:sz w:val="21"/>
          <w:szCs w:val="21"/>
          <w:lang w:val="en-US"/>
        </w:rPr>
        <w:t>top executives</w:t>
      </w:r>
    </w:p>
    <w:p w:rsidR="000C3559" w:rsidRPr="00CF2E3A" w:rsidRDefault="000C3559" w:rsidP="0002070C">
      <w:pPr>
        <w:rPr>
          <w:sz w:val="21"/>
          <w:szCs w:val="21"/>
          <w:lang w:val="en-GB"/>
        </w:rPr>
      </w:pPr>
    </w:p>
    <w:p w:rsidR="000C3559" w:rsidRPr="009363B2" w:rsidRDefault="000C3559" w:rsidP="0002070C">
      <w:pPr>
        <w:rPr>
          <w:sz w:val="21"/>
          <w:szCs w:val="21"/>
          <w:lang w:val="en-US"/>
        </w:rPr>
      </w:pPr>
      <w:r w:rsidRPr="009363B2">
        <w:rPr>
          <w:sz w:val="21"/>
          <w:szCs w:val="21"/>
          <w:lang w:val="en-US"/>
        </w:rPr>
        <w:t xml:space="preserve">Amsterdam, </w:t>
      </w:r>
      <w:r w:rsidR="00CF2E3A" w:rsidRPr="009363B2">
        <w:rPr>
          <w:sz w:val="21"/>
          <w:szCs w:val="21"/>
          <w:lang w:val="en-US"/>
        </w:rPr>
        <w:t xml:space="preserve">June 1, </w:t>
      </w:r>
      <w:r w:rsidRPr="009363B2">
        <w:rPr>
          <w:sz w:val="21"/>
          <w:szCs w:val="21"/>
          <w:lang w:val="en-US"/>
        </w:rPr>
        <w:t>2021</w:t>
      </w:r>
    </w:p>
    <w:p w:rsidR="000C3559" w:rsidRPr="009363B2" w:rsidRDefault="000C3559" w:rsidP="0002070C">
      <w:pPr>
        <w:rPr>
          <w:sz w:val="21"/>
          <w:szCs w:val="21"/>
          <w:lang w:val="en-US"/>
        </w:rPr>
      </w:pPr>
    </w:p>
    <w:p w:rsidR="00CF2E3A" w:rsidRPr="00CF2E3A" w:rsidRDefault="00CF2E3A" w:rsidP="00CF2E3A">
      <w:pPr>
        <w:rPr>
          <w:sz w:val="21"/>
          <w:szCs w:val="21"/>
          <w:lang w:val="en-US"/>
        </w:rPr>
      </w:pPr>
      <w:r w:rsidRPr="00CF2E3A">
        <w:rPr>
          <w:b/>
          <w:bCs/>
          <w:sz w:val="21"/>
          <w:szCs w:val="21"/>
          <w:lang w:val="en-US"/>
        </w:rPr>
        <w:t>Quality First</w:t>
      </w:r>
    </w:p>
    <w:p w:rsidR="00CF2E3A" w:rsidRPr="00CF2E3A" w:rsidRDefault="00CF2E3A" w:rsidP="00CF2E3A">
      <w:pPr>
        <w:rPr>
          <w:b/>
          <w:bCs/>
          <w:sz w:val="21"/>
          <w:szCs w:val="21"/>
          <w:lang w:val="en-US"/>
        </w:rPr>
      </w:pPr>
      <w:r w:rsidRPr="00CF2E3A">
        <w:rPr>
          <w:i/>
          <w:sz w:val="21"/>
          <w:szCs w:val="21"/>
          <w:lang w:val="en-US"/>
        </w:rPr>
        <w:t>Merit Automotive</w:t>
      </w:r>
      <w:r w:rsidRPr="00CF2E3A">
        <w:rPr>
          <w:sz w:val="21"/>
          <w:szCs w:val="21"/>
          <w:lang w:val="en-US"/>
        </w:rPr>
        <w:t xml:space="preserve"> and </w:t>
      </w:r>
      <w:r w:rsidRPr="00CF2E3A">
        <w:rPr>
          <w:i/>
          <w:sz w:val="21"/>
          <w:szCs w:val="21"/>
          <w:lang w:val="en-US"/>
        </w:rPr>
        <w:t>Tiberina</w:t>
      </w:r>
      <w:r w:rsidRPr="00CF2E3A">
        <w:rPr>
          <w:sz w:val="21"/>
          <w:szCs w:val="21"/>
          <w:lang w:val="en-US"/>
        </w:rPr>
        <w:t xml:space="preserve"> are </w:t>
      </w:r>
      <w:r w:rsidR="00B97678">
        <w:rPr>
          <w:sz w:val="21"/>
          <w:szCs w:val="21"/>
          <w:lang w:val="en-US"/>
        </w:rPr>
        <w:t>a</w:t>
      </w:r>
      <w:r w:rsidRPr="00CF2E3A">
        <w:rPr>
          <w:sz w:val="21"/>
          <w:szCs w:val="21"/>
          <w:lang w:val="en-US"/>
        </w:rPr>
        <w:t>warded for their achievement and commitment in terms of industrial development and production by meeting Stellantis' Quality requirements.</w:t>
      </w:r>
    </w:p>
    <w:p w:rsidR="00CF2E3A" w:rsidRPr="00CF2E3A" w:rsidRDefault="00CF2E3A" w:rsidP="00CF2E3A">
      <w:pPr>
        <w:rPr>
          <w:sz w:val="21"/>
          <w:szCs w:val="21"/>
          <w:lang w:val="en-US"/>
        </w:rPr>
      </w:pPr>
    </w:p>
    <w:p w:rsidR="00CF2E3A" w:rsidRPr="00CF2E3A" w:rsidRDefault="00CF2E3A" w:rsidP="00CF2E3A">
      <w:pPr>
        <w:rPr>
          <w:b/>
          <w:bCs/>
          <w:sz w:val="21"/>
          <w:szCs w:val="21"/>
          <w:lang w:val="en-GB"/>
        </w:rPr>
      </w:pPr>
      <w:r w:rsidRPr="00CF2E3A">
        <w:rPr>
          <w:b/>
          <w:bCs/>
          <w:sz w:val="21"/>
          <w:szCs w:val="21"/>
          <w:lang w:val="en-GB"/>
        </w:rPr>
        <w:t>Competitiveness</w:t>
      </w:r>
    </w:p>
    <w:p w:rsidR="00CF2E3A" w:rsidRPr="00CF2E3A" w:rsidRDefault="00CF2E3A" w:rsidP="00CF2E3A">
      <w:pPr>
        <w:rPr>
          <w:sz w:val="21"/>
          <w:szCs w:val="21"/>
          <w:lang w:val="en-US"/>
        </w:rPr>
      </w:pPr>
      <w:r w:rsidRPr="00CF2E3A">
        <w:rPr>
          <w:i/>
          <w:sz w:val="21"/>
          <w:szCs w:val="21"/>
          <w:lang w:val="en-US"/>
        </w:rPr>
        <w:t>Adient</w:t>
      </w:r>
      <w:r w:rsidRPr="00CF2E3A">
        <w:rPr>
          <w:sz w:val="21"/>
          <w:szCs w:val="21"/>
          <w:lang w:val="en-US"/>
        </w:rPr>
        <w:t xml:space="preserve"> and </w:t>
      </w:r>
      <w:r w:rsidRPr="00CF2E3A">
        <w:rPr>
          <w:i/>
          <w:sz w:val="21"/>
          <w:szCs w:val="21"/>
          <w:lang w:val="en-US"/>
        </w:rPr>
        <w:t>Nexen</w:t>
      </w:r>
      <w:r w:rsidRPr="00CF2E3A">
        <w:rPr>
          <w:sz w:val="21"/>
          <w:szCs w:val="21"/>
          <w:lang w:val="en-US"/>
        </w:rPr>
        <w:t xml:space="preserve"> are</w:t>
      </w:r>
      <w:r w:rsidR="00B97678">
        <w:rPr>
          <w:sz w:val="21"/>
          <w:szCs w:val="21"/>
          <w:lang w:val="en-US"/>
        </w:rPr>
        <w:t xml:space="preserve"> awarded</w:t>
      </w:r>
      <w:r w:rsidRPr="00CF2E3A">
        <w:rPr>
          <w:sz w:val="21"/>
          <w:szCs w:val="21"/>
          <w:lang w:val="en-US"/>
        </w:rPr>
        <w:t xml:space="preserve"> rewarded for their outstanding performance in terms of</w:t>
      </w:r>
      <w:r w:rsidR="00B97678">
        <w:rPr>
          <w:sz w:val="21"/>
          <w:szCs w:val="21"/>
          <w:lang w:val="en-US"/>
        </w:rPr>
        <w:t xml:space="preserve"> cost</w:t>
      </w:r>
      <w:r w:rsidRPr="00CF2E3A">
        <w:rPr>
          <w:sz w:val="21"/>
          <w:szCs w:val="21"/>
          <w:lang w:val="en-US"/>
        </w:rPr>
        <w:t xml:space="preserve"> savings (commercial, process, technical solutions </w:t>
      </w:r>
      <w:r w:rsidR="00087197">
        <w:rPr>
          <w:sz w:val="21"/>
          <w:szCs w:val="21"/>
          <w:lang w:val="en-US"/>
        </w:rPr>
        <w:t xml:space="preserve">and </w:t>
      </w:r>
      <w:r w:rsidRPr="00CF2E3A">
        <w:rPr>
          <w:sz w:val="21"/>
          <w:szCs w:val="21"/>
          <w:lang w:val="en-US"/>
        </w:rPr>
        <w:t>logistics) and their proposals for a cost reduction portfolio in line with Stellantis' objectives.</w:t>
      </w:r>
    </w:p>
    <w:p w:rsidR="00CF2E3A" w:rsidRPr="00CF2E3A" w:rsidRDefault="00CF2E3A" w:rsidP="00CF2E3A">
      <w:pPr>
        <w:rPr>
          <w:sz w:val="21"/>
          <w:szCs w:val="21"/>
          <w:lang w:val="en-US"/>
        </w:rPr>
      </w:pPr>
    </w:p>
    <w:p w:rsidR="00CF2E3A" w:rsidRPr="00CF2E3A" w:rsidRDefault="00CF2E3A" w:rsidP="00CF2E3A">
      <w:pPr>
        <w:rPr>
          <w:b/>
          <w:bCs/>
          <w:sz w:val="21"/>
          <w:szCs w:val="21"/>
          <w:lang w:val="en-US"/>
        </w:rPr>
      </w:pPr>
      <w:r w:rsidRPr="00CF2E3A">
        <w:rPr>
          <w:b/>
          <w:bCs/>
          <w:sz w:val="21"/>
          <w:szCs w:val="21"/>
          <w:lang w:val="en-US"/>
        </w:rPr>
        <w:t>Program Management</w:t>
      </w:r>
    </w:p>
    <w:p w:rsidR="00CF2E3A" w:rsidRPr="00CF2E3A" w:rsidRDefault="00CF2E3A" w:rsidP="00CF2E3A">
      <w:pPr>
        <w:rPr>
          <w:sz w:val="21"/>
          <w:szCs w:val="21"/>
          <w:lang w:val="en-US"/>
        </w:rPr>
      </w:pPr>
      <w:r w:rsidRPr="00CF2E3A">
        <w:rPr>
          <w:i/>
          <w:sz w:val="21"/>
          <w:szCs w:val="21"/>
          <w:lang w:val="en-US"/>
        </w:rPr>
        <w:t>Brose</w:t>
      </w:r>
      <w:r w:rsidRPr="00CF2E3A">
        <w:rPr>
          <w:sz w:val="21"/>
          <w:szCs w:val="21"/>
          <w:lang w:val="en-US"/>
        </w:rPr>
        <w:t xml:space="preserve"> and </w:t>
      </w:r>
      <w:r w:rsidRPr="00CF2E3A">
        <w:rPr>
          <w:i/>
          <w:sz w:val="21"/>
          <w:szCs w:val="21"/>
          <w:lang w:val="en-US"/>
        </w:rPr>
        <w:t>Steep Plastique</w:t>
      </w:r>
      <w:r w:rsidRPr="00CF2E3A">
        <w:rPr>
          <w:sz w:val="21"/>
          <w:szCs w:val="21"/>
          <w:lang w:val="en-US"/>
        </w:rPr>
        <w:t xml:space="preserve"> are </w:t>
      </w:r>
      <w:r w:rsidR="00B97678">
        <w:rPr>
          <w:sz w:val="21"/>
          <w:szCs w:val="21"/>
          <w:lang w:val="en-US"/>
        </w:rPr>
        <w:t>a</w:t>
      </w:r>
      <w:r w:rsidR="00B97678" w:rsidRPr="00CF2E3A">
        <w:rPr>
          <w:sz w:val="21"/>
          <w:szCs w:val="21"/>
          <w:lang w:val="en-US"/>
        </w:rPr>
        <w:t xml:space="preserve">warded </w:t>
      </w:r>
      <w:r w:rsidRPr="00CF2E3A">
        <w:rPr>
          <w:sz w:val="21"/>
          <w:szCs w:val="21"/>
          <w:lang w:val="en-US"/>
        </w:rPr>
        <w:t>for their performance in terms of quality of deliverables, respect of schedule, control of cost drift, project management, successful launches and technical expertise.</w:t>
      </w:r>
    </w:p>
    <w:p w:rsidR="00CF2E3A" w:rsidRPr="00CF2E3A" w:rsidRDefault="00CF2E3A" w:rsidP="00CF2E3A">
      <w:pPr>
        <w:rPr>
          <w:b/>
          <w:bCs/>
          <w:sz w:val="21"/>
          <w:szCs w:val="21"/>
          <w:lang w:val="en-US"/>
        </w:rPr>
      </w:pPr>
    </w:p>
    <w:p w:rsidR="00CF2E3A" w:rsidRPr="00CF2E3A" w:rsidRDefault="00CF2E3A" w:rsidP="00CF2E3A">
      <w:pPr>
        <w:rPr>
          <w:b/>
          <w:bCs/>
          <w:sz w:val="21"/>
          <w:szCs w:val="21"/>
          <w:lang w:val="en-US"/>
        </w:rPr>
      </w:pPr>
      <w:r w:rsidRPr="00CF2E3A">
        <w:rPr>
          <w:b/>
          <w:bCs/>
          <w:sz w:val="21"/>
          <w:szCs w:val="21"/>
          <w:lang w:val="en-US"/>
        </w:rPr>
        <w:t>Innovation</w:t>
      </w:r>
    </w:p>
    <w:p w:rsidR="00CF2E3A" w:rsidRPr="00CF2E3A" w:rsidRDefault="00CF2E3A" w:rsidP="00CF2E3A">
      <w:pPr>
        <w:rPr>
          <w:sz w:val="21"/>
          <w:szCs w:val="21"/>
          <w:lang w:val="en-US"/>
        </w:rPr>
      </w:pPr>
      <w:r w:rsidRPr="00CF2E3A">
        <w:rPr>
          <w:i/>
          <w:sz w:val="21"/>
          <w:szCs w:val="21"/>
          <w:lang w:val="en-US"/>
        </w:rPr>
        <w:t xml:space="preserve">Batemo </w:t>
      </w:r>
      <w:r w:rsidRPr="00CF2E3A">
        <w:rPr>
          <w:sz w:val="21"/>
          <w:szCs w:val="21"/>
          <w:lang w:val="en-US"/>
        </w:rPr>
        <w:t xml:space="preserve">and </w:t>
      </w:r>
      <w:r w:rsidRPr="00CF2E3A">
        <w:rPr>
          <w:i/>
          <w:sz w:val="21"/>
          <w:szCs w:val="21"/>
          <w:lang w:val="en-US"/>
        </w:rPr>
        <w:t>Mitsubishi Chemical Advanced Materials</w:t>
      </w:r>
      <w:r w:rsidRPr="00CF2E3A">
        <w:rPr>
          <w:sz w:val="21"/>
          <w:szCs w:val="21"/>
          <w:lang w:val="en-US"/>
        </w:rPr>
        <w:t xml:space="preserve"> are </w:t>
      </w:r>
      <w:r w:rsidR="00B97678">
        <w:rPr>
          <w:sz w:val="21"/>
          <w:szCs w:val="21"/>
          <w:lang w:val="en-US"/>
        </w:rPr>
        <w:t>a</w:t>
      </w:r>
      <w:r w:rsidR="00B97678" w:rsidRPr="00CF2E3A">
        <w:rPr>
          <w:sz w:val="21"/>
          <w:szCs w:val="21"/>
          <w:lang w:val="en-US"/>
        </w:rPr>
        <w:t xml:space="preserve">warded </w:t>
      </w:r>
      <w:r w:rsidRPr="00CF2E3A">
        <w:rPr>
          <w:sz w:val="21"/>
          <w:szCs w:val="21"/>
          <w:lang w:val="en-US"/>
        </w:rPr>
        <w:t>for their ability to propose breakthrough technical solutions and new value-creating services.</w:t>
      </w:r>
    </w:p>
    <w:p w:rsidR="00CF2E3A" w:rsidRPr="00CF2E3A" w:rsidRDefault="00CF2E3A" w:rsidP="00CF2E3A">
      <w:pPr>
        <w:rPr>
          <w:sz w:val="21"/>
          <w:szCs w:val="21"/>
          <w:lang w:val="en-US"/>
        </w:rPr>
      </w:pPr>
    </w:p>
    <w:p w:rsidR="00CF2E3A" w:rsidRPr="00CF2E3A" w:rsidRDefault="00CF2E3A" w:rsidP="00CF2E3A">
      <w:pPr>
        <w:rPr>
          <w:b/>
          <w:bCs/>
          <w:sz w:val="21"/>
          <w:szCs w:val="21"/>
          <w:lang w:val="en-US"/>
        </w:rPr>
      </w:pPr>
      <w:r w:rsidRPr="00CF2E3A">
        <w:rPr>
          <w:b/>
          <w:bCs/>
          <w:sz w:val="21"/>
          <w:szCs w:val="21"/>
          <w:lang w:val="en-US"/>
        </w:rPr>
        <w:t xml:space="preserve">Indirect </w:t>
      </w:r>
      <w:r w:rsidR="00B97678">
        <w:rPr>
          <w:b/>
          <w:bCs/>
          <w:sz w:val="21"/>
          <w:szCs w:val="21"/>
          <w:lang w:val="en-US"/>
        </w:rPr>
        <w:t>S</w:t>
      </w:r>
      <w:r w:rsidRPr="00CF2E3A">
        <w:rPr>
          <w:b/>
          <w:bCs/>
          <w:sz w:val="21"/>
          <w:szCs w:val="21"/>
          <w:lang w:val="en-US"/>
        </w:rPr>
        <w:t>ervices</w:t>
      </w:r>
    </w:p>
    <w:p w:rsidR="00CF2E3A" w:rsidRPr="00CF2E3A" w:rsidRDefault="00CF2E3A" w:rsidP="00CF2E3A">
      <w:pPr>
        <w:rPr>
          <w:sz w:val="21"/>
          <w:szCs w:val="21"/>
          <w:lang w:val="en-US"/>
        </w:rPr>
      </w:pPr>
      <w:r w:rsidRPr="00CF2E3A">
        <w:rPr>
          <w:i/>
          <w:sz w:val="21"/>
          <w:szCs w:val="21"/>
          <w:lang w:val="en-US"/>
        </w:rPr>
        <w:t>Total Energies</w:t>
      </w:r>
      <w:r w:rsidRPr="00CF2E3A">
        <w:rPr>
          <w:sz w:val="21"/>
          <w:szCs w:val="21"/>
          <w:lang w:val="en-US"/>
        </w:rPr>
        <w:t xml:space="preserve"> </w:t>
      </w:r>
      <w:r w:rsidR="00B97678">
        <w:rPr>
          <w:sz w:val="21"/>
          <w:szCs w:val="21"/>
          <w:lang w:val="en-US"/>
        </w:rPr>
        <w:t>is awarded</w:t>
      </w:r>
      <w:r w:rsidRPr="00CF2E3A">
        <w:rPr>
          <w:sz w:val="21"/>
          <w:szCs w:val="21"/>
          <w:lang w:val="en-US"/>
        </w:rPr>
        <w:t xml:space="preserve"> for its performance in terms of service and quality, cost, on-time delivery and responsiveness.</w:t>
      </w:r>
    </w:p>
    <w:p w:rsidR="00CF2E3A" w:rsidRDefault="00CF2E3A">
      <w:pPr>
        <w:jc w:val="left"/>
        <w:rPr>
          <w:sz w:val="21"/>
          <w:szCs w:val="21"/>
          <w:lang w:val="en-US"/>
        </w:rPr>
      </w:pPr>
      <w:r>
        <w:rPr>
          <w:sz w:val="21"/>
          <w:szCs w:val="21"/>
          <w:lang w:val="en-US"/>
        </w:rPr>
        <w:br w:type="page"/>
      </w:r>
    </w:p>
    <w:p w:rsidR="00CF2E3A" w:rsidRPr="00CF2E3A" w:rsidRDefault="00CF2E3A" w:rsidP="00CF2E3A">
      <w:pPr>
        <w:rPr>
          <w:b/>
          <w:bCs/>
          <w:sz w:val="21"/>
          <w:szCs w:val="21"/>
          <w:lang w:val="en-GB"/>
        </w:rPr>
      </w:pPr>
      <w:r w:rsidRPr="00CF2E3A">
        <w:rPr>
          <w:b/>
          <w:bCs/>
          <w:sz w:val="21"/>
          <w:szCs w:val="21"/>
          <w:lang w:val="en-GB"/>
        </w:rPr>
        <w:lastRenderedPageBreak/>
        <w:t xml:space="preserve">Corporate Social </w:t>
      </w:r>
      <w:r w:rsidR="00087197" w:rsidRPr="00CF2E3A">
        <w:rPr>
          <w:b/>
          <w:bCs/>
          <w:sz w:val="21"/>
          <w:szCs w:val="21"/>
          <w:lang w:val="en-GB"/>
        </w:rPr>
        <w:t>Responsibility</w:t>
      </w:r>
    </w:p>
    <w:p w:rsidR="00CF2E3A" w:rsidRDefault="00CF2E3A" w:rsidP="00CF2E3A">
      <w:pPr>
        <w:rPr>
          <w:sz w:val="21"/>
          <w:szCs w:val="21"/>
          <w:lang w:val="en-US"/>
        </w:rPr>
      </w:pPr>
      <w:r w:rsidRPr="00CF2E3A">
        <w:rPr>
          <w:i/>
          <w:sz w:val="21"/>
          <w:szCs w:val="21"/>
          <w:lang w:val="en-US"/>
        </w:rPr>
        <w:t>Valéo</w:t>
      </w:r>
      <w:r w:rsidRPr="00CF2E3A">
        <w:rPr>
          <w:sz w:val="21"/>
          <w:szCs w:val="21"/>
          <w:lang w:val="en-US"/>
        </w:rPr>
        <w:t xml:space="preserve"> is </w:t>
      </w:r>
      <w:r w:rsidR="00B97678">
        <w:rPr>
          <w:sz w:val="21"/>
          <w:szCs w:val="21"/>
          <w:lang w:val="en-US"/>
        </w:rPr>
        <w:t>a</w:t>
      </w:r>
      <w:r w:rsidR="00B97678" w:rsidRPr="00CF2E3A">
        <w:rPr>
          <w:sz w:val="21"/>
          <w:szCs w:val="21"/>
          <w:lang w:val="en-US"/>
        </w:rPr>
        <w:t xml:space="preserve">warded </w:t>
      </w:r>
      <w:r w:rsidRPr="00CF2E3A">
        <w:rPr>
          <w:sz w:val="21"/>
          <w:szCs w:val="21"/>
          <w:lang w:val="en-US"/>
        </w:rPr>
        <w:t xml:space="preserve">for its environmental, social and ethical performance </w:t>
      </w:r>
      <w:r w:rsidR="00421C14">
        <w:rPr>
          <w:sz w:val="21"/>
          <w:szCs w:val="21"/>
          <w:lang w:val="en-US"/>
        </w:rPr>
        <w:t>and</w:t>
      </w:r>
      <w:r w:rsidRPr="00CF2E3A">
        <w:rPr>
          <w:sz w:val="21"/>
          <w:szCs w:val="21"/>
          <w:lang w:val="en-US"/>
        </w:rPr>
        <w:t xml:space="preserve"> for control of its subcontracting chain</w:t>
      </w:r>
      <w:r w:rsidR="002E142A">
        <w:rPr>
          <w:sz w:val="21"/>
          <w:szCs w:val="21"/>
          <w:lang w:val="en-US"/>
        </w:rPr>
        <w:t xml:space="preserve">. Performance was evaluated by a third-party provider commissioned by Stellantis to assess international requirements for sustainable development. </w:t>
      </w:r>
    </w:p>
    <w:p w:rsidR="004B6675" w:rsidRPr="00CF2E3A" w:rsidRDefault="004B6675" w:rsidP="00CF2E3A">
      <w:pPr>
        <w:rPr>
          <w:sz w:val="21"/>
          <w:szCs w:val="21"/>
          <w:lang w:val="en-US"/>
        </w:rPr>
      </w:pPr>
    </w:p>
    <w:p w:rsidR="00CF2E3A" w:rsidRPr="00CF2E3A" w:rsidRDefault="00CF2E3A" w:rsidP="00CF2E3A">
      <w:pPr>
        <w:rPr>
          <w:b/>
          <w:bCs/>
          <w:sz w:val="21"/>
          <w:szCs w:val="21"/>
          <w:lang w:val="en-GB"/>
        </w:rPr>
      </w:pPr>
      <w:r w:rsidRPr="00CF2E3A">
        <w:rPr>
          <w:b/>
          <w:bCs/>
          <w:sz w:val="21"/>
          <w:szCs w:val="21"/>
          <w:lang w:val="en-GB"/>
        </w:rPr>
        <w:t>Capex</w:t>
      </w:r>
    </w:p>
    <w:p w:rsidR="00CF2E3A" w:rsidRPr="00CF2E3A" w:rsidRDefault="00CF2E3A" w:rsidP="00CF2E3A">
      <w:pPr>
        <w:rPr>
          <w:sz w:val="21"/>
          <w:szCs w:val="21"/>
          <w:lang w:val="en-US"/>
        </w:rPr>
      </w:pPr>
      <w:r w:rsidRPr="00CF2E3A">
        <w:rPr>
          <w:i/>
          <w:sz w:val="21"/>
          <w:szCs w:val="21"/>
          <w:lang w:val="en-US"/>
        </w:rPr>
        <w:t>Kuka</w:t>
      </w:r>
      <w:r w:rsidRPr="00CF2E3A">
        <w:rPr>
          <w:sz w:val="21"/>
          <w:szCs w:val="21"/>
          <w:lang w:val="en-US"/>
        </w:rPr>
        <w:t xml:space="preserve"> is </w:t>
      </w:r>
      <w:r w:rsidR="00B97678">
        <w:rPr>
          <w:sz w:val="21"/>
          <w:szCs w:val="21"/>
          <w:lang w:val="en-US"/>
        </w:rPr>
        <w:t>a</w:t>
      </w:r>
      <w:r w:rsidR="00B97678" w:rsidRPr="00CF2E3A">
        <w:rPr>
          <w:sz w:val="21"/>
          <w:szCs w:val="21"/>
          <w:lang w:val="en-US"/>
        </w:rPr>
        <w:t xml:space="preserve">warded </w:t>
      </w:r>
      <w:r w:rsidR="00B97678">
        <w:rPr>
          <w:sz w:val="21"/>
          <w:szCs w:val="21"/>
          <w:lang w:val="en-US"/>
        </w:rPr>
        <w:t xml:space="preserve">for </w:t>
      </w:r>
      <w:r w:rsidRPr="00CF2E3A">
        <w:rPr>
          <w:sz w:val="21"/>
          <w:szCs w:val="21"/>
          <w:lang w:val="en-US"/>
        </w:rPr>
        <w:t>its expertise in proposing and developing highly technical production equipment for Stellantis and ensuring its implementation with the utmost rigor</w:t>
      </w:r>
      <w:r w:rsidR="001760C8">
        <w:rPr>
          <w:sz w:val="21"/>
          <w:szCs w:val="21"/>
          <w:lang w:val="en-US"/>
        </w:rPr>
        <w:t>.</w:t>
      </w:r>
    </w:p>
    <w:p w:rsidR="00CF2E3A" w:rsidRPr="00CF2E3A" w:rsidRDefault="00CF2E3A" w:rsidP="00CF2E3A">
      <w:pPr>
        <w:rPr>
          <w:sz w:val="21"/>
          <w:szCs w:val="21"/>
          <w:lang w:val="en-US"/>
        </w:rPr>
      </w:pPr>
    </w:p>
    <w:p w:rsidR="00CF2E3A" w:rsidRPr="00CF2E3A" w:rsidRDefault="00CF2E3A" w:rsidP="00CF2E3A">
      <w:pPr>
        <w:rPr>
          <w:b/>
          <w:bCs/>
          <w:sz w:val="21"/>
          <w:szCs w:val="21"/>
          <w:lang w:val="en-GB"/>
        </w:rPr>
      </w:pPr>
      <w:r w:rsidRPr="00CF2E3A">
        <w:rPr>
          <w:b/>
          <w:bCs/>
          <w:sz w:val="21"/>
          <w:szCs w:val="21"/>
          <w:lang w:val="en-GB"/>
        </w:rPr>
        <w:t>Supply Chain</w:t>
      </w:r>
    </w:p>
    <w:p w:rsidR="00CF2E3A" w:rsidRPr="00CF2E3A" w:rsidRDefault="00CF2E3A" w:rsidP="00CF2E3A">
      <w:pPr>
        <w:rPr>
          <w:sz w:val="21"/>
          <w:szCs w:val="21"/>
          <w:lang w:val="en-US"/>
        </w:rPr>
      </w:pPr>
      <w:r w:rsidRPr="00CF2E3A">
        <w:rPr>
          <w:i/>
          <w:sz w:val="21"/>
          <w:szCs w:val="21"/>
          <w:lang w:val="en-US"/>
        </w:rPr>
        <w:t>Alps Alpine</w:t>
      </w:r>
      <w:r w:rsidRPr="00CF2E3A">
        <w:rPr>
          <w:sz w:val="21"/>
          <w:szCs w:val="21"/>
          <w:lang w:val="en-US"/>
        </w:rPr>
        <w:t xml:space="preserve"> </w:t>
      </w:r>
      <w:r w:rsidR="00421C14">
        <w:rPr>
          <w:sz w:val="21"/>
          <w:szCs w:val="21"/>
          <w:lang w:val="en-US"/>
        </w:rPr>
        <w:t>is</w:t>
      </w:r>
      <w:r w:rsidRPr="00CF2E3A">
        <w:rPr>
          <w:sz w:val="21"/>
          <w:szCs w:val="21"/>
          <w:lang w:val="en-US"/>
        </w:rPr>
        <w:t xml:space="preserve"> </w:t>
      </w:r>
      <w:r w:rsidR="00B97678">
        <w:rPr>
          <w:sz w:val="21"/>
          <w:szCs w:val="21"/>
          <w:lang w:val="en-US"/>
        </w:rPr>
        <w:t>a</w:t>
      </w:r>
      <w:r w:rsidR="00B97678" w:rsidRPr="00CF2E3A">
        <w:rPr>
          <w:sz w:val="21"/>
          <w:szCs w:val="21"/>
          <w:lang w:val="en-US"/>
        </w:rPr>
        <w:t>warded</w:t>
      </w:r>
      <w:r w:rsidR="00B97678">
        <w:rPr>
          <w:sz w:val="21"/>
          <w:szCs w:val="21"/>
          <w:lang w:val="en-US"/>
        </w:rPr>
        <w:t xml:space="preserve"> </w:t>
      </w:r>
      <w:r w:rsidRPr="00CF2E3A">
        <w:rPr>
          <w:sz w:val="21"/>
          <w:szCs w:val="21"/>
          <w:lang w:val="en-US"/>
        </w:rPr>
        <w:t xml:space="preserve">for its excellent </w:t>
      </w:r>
      <w:r w:rsidR="00B97678">
        <w:rPr>
          <w:sz w:val="21"/>
          <w:szCs w:val="21"/>
          <w:lang w:val="en-US"/>
        </w:rPr>
        <w:t xml:space="preserve">delivery </w:t>
      </w:r>
      <w:r w:rsidRPr="00CF2E3A">
        <w:rPr>
          <w:sz w:val="21"/>
          <w:szCs w:val="21"/>
          <w:lang w:val="en-US"/>
        </w:rPr>
        <w:t>performance</w:t>
      </w:r>
      <w:r w:rsidR="00B97678">
        <w:rPr>
          <w:sz w:val="21"/>
          <w:szCs w:val="21"/>
          <w:lang w:val="en-US"/>
        </w:rPr>
        <w:t>,</w:t>
      </w:r>
      <w:r w:rsidRPr="00CF2E3A">
        <w:rPr>
          <w:sz w:val="21"/>
          <w:szCs w:val="21"/>
          <w:lang w:val="en-US"/>
        </w:rPr>
        <w:t xml:space="preserve"> continuous control of production tool capacity</w:t>
      </w:r>
      <w:r w:rsidR="00B97678">
        <w:rPr>
          <w:sz w:val="21"/>
          <w:szCs w:val="21"/>
          <w:lang w:val="en-US"/>
        </w:rPr>
        <w:t>, and</w:t>
      </w:r>
      <w:r w:rsidRPr="00CF2E3A">
        <w:rPr>
          <w:sz w:val="21"/>
          <w:szCs w:val="21"/>
          <w:lang w:val="en-US"/>
        </w:rPr>
        <w:t xml:space="preserve"> </w:t>
      </w:r>
      <w:r w:rsidR="00B97678">
        <w:rPr>
          <w:sz w:val="21"/>
          <w:szCs w:val="21"/>
          <w:lang w:val="en-US"/>
        </w:rPr>
        <w:t xml:space="preserve"> </w:t>
      </w:r>
      <w:r w:rsidRPr="00CF2E3A">
        <w:rPr>
          <w:sz w:val="21"/>
          <w:szCs w:val="21"/>
          <w:lang w:val="en-US"/>
        </w:rPr>
        <w:t xml:space="preserve"> execution of the manufacturing and delivery programs. </w:t>
      </w:r>
    </w:p>
    <w:p w:rsidR="00CF2E3A" w:rsidRPr="00CF2E3A" w:rsidRDefault="00CF2E3A" w:rsidP="00CF2E3A">
      <w:pPr>
        <w:rPr>
          <w:sz w:val="21"/>
          <w:szCs w:val="21"/>
          <w:lang w:val="en-US"/>
        </w:rPr>
      </w:pPr>
    </w:p>
    <w:p w:rsidR="00CF2E3A" w:rsidRPr="00CF2E3A" w:rsidRDefault="00CF2E3A" w:rsidP="0002070C">
      <w:pPr>
        <w:rPr>
          <w:sz w:val="21"/>
          <w:szCs w:val="21"/>
          <w:lang w:val="en-US"/>
        </w:rPr>
      </w:pPr>
    </w:p>
    <w:p w:rsidR="000C3559" w:rsidRPr="00CF2E3A" w:rsidRDefault="000C3559" w:rsidP="000C3559">
      <w:pPr>
        <w:rPr>
          <w:sz w:val="21"/>
          <w:szCs w:val="21"/>
          <w:lang w:val="en-GB"/>
        </w:rPr>
      </w:pPr>
    </w:p>
    <w:p w:rsidR="00CF2E3A" w:rsidRPr="00CF2E3A" w:rsidRDefault="00CF2E3A" w:rsidP="00CF2E3A">
      <w:pPr>
        <w:spacing w:after="360" w:line="288" w:lineRule="auto"/>
        <w:jc w:val="left"/>
        <w:rPr>
          <w:rFonts w:ascii="Encode Sans SemiBold" w:hAnsi="Encode Sans SemiBold" w:cs="Calibri"/>
          <w:i/>
          <w:color w:val="243782" w:themeColor="text2"/>
          <w:sz w:val="18"/>
          <w:szCs w:val="22"/>
          <w:lang w:val="en-GB"/>
        </w:rPr>
      </w:pPr>
      <w:r w:rsidRPr="00CF2E3A">
        <w:rPr>
          <w:rFonts w:ascii="Encode Sans SemiBold" w:hAnsi="Encode Sans SemiBold" w:cs="Calibri"/>
          <w:i/>
          <w:color w:val="243782" w:themeColor="text2"/>
          <w:sz w:val="18"/>
          <w:szCs w:val="22"/>
          <w:lang w:val="en-GB"/>
        </w:rPr>
        <w:t>About Stellantis</w:t>
      </w:r>
    </w:p>
    <w:p w:rsidR="00CF2E3A" w:rsidRPr="00F14CA7" w:rsidRDefault="00CF2E3A" w:rsidP="00CF2E3A">
      <w:pPr>
        <w:spacing w:after="160" w:line="259" w:lineRule="auto"/>
        <w:rPr>
          <w:rFonts w:ascii="Encode Sans ExpandedLight" w:eastAsia="Calibri" w:hAnsi="Encode Sans ExpandedLight" w:cs="Calibri"/>
          <w:i/>
          <w:color w:val="1F497D"/>
          <w:sz w:val="18"/>
          <w:szCs w:val="22"/>
          <w:lang w:val="en-GB"/>
        </w:rPr>
      </w:pPr>
      <w:r w:rsidRPr="00CF2E3A">
        <w:rPr>
          <w:rStyle w:val="Lienhypertexte"/>
          <w:rFonts w:ascii="Encode Sans ExpandedLight" w:hAnsi="Encode Sans ExpandedLight" w:cs="Calibri"/>
          <w:b/>
          <w:i/>
          <w:sz w:val="18"/>
          <w:lang w:val="en-GB"/>
        </w:rPr>
        <w:t>Stellantis</w:t>
      </w:r>
      <w:r w:rsidRPr="00CF2E3A">
        <w:rPr>
          <w:szCs w:val="22"/>
          <w:lang w:val="en-GB"/>
        </w:rPr>
        <w:t xml:space="preserve"> </w:t>
      </w:r>
      <w:r w:rsidRPr="00CF2E3A">
        <w:rPr>
          <w:rFonts w:ascii="Encode Sans ExpandedLight" w:hAnsi="Encode Sans ExpandedLight" w:cs="Calibri"/>
          <w:i/>
          <w:sz w:val="18"/>
          <w:szCs w:val="22"/>
          <w:lang w:val="en-GB"/>
        </w:rPr>
        <w:t>is</w:t>
      </w:r>
      <w:r w:rsidRPr="00CF2E3A">
        <w:rPr>
          <w:rFonts w:ascii="Encode Sans ExpandedLight" w:hAnsi="Encode Sans ExpandedLight"/>
          <w:color w:val="1F497D"/>
          <w:lang w:val="en-GB"/>
        </w:rPr>
        <w:t xml:space="preserve"> </w:t>
      </w:r>
      <w:r w:rsidRPr="00CF2E3A">
        <w:rPr>
          <w:rFonts w:ascii="Encode Sans ExpandedLight" w:hAnsi="Encode Sans ExpandedLight" w:cs="Calibri"/>
          <w:i/>
          <w:sz w:val="18"/>
          <w:szCs w:val="22"/>
          <w:lang w:val="en-GB"/>
        </w:rPr>
        <w:t>one of the world’s leading automakers and a mobility provider, guided by a clear vision: to offer freedom of movement with distinctive, affordable and reliable mobility solutions.  In addition to the Group’s rich heritage and broad geographic presence, its greatest strengths lie in its sustainable performance, depth of experience and the wide-ranging talents of employees working around the globe. Stellantis will leverage its broad and iconic brand portfolio, which was founded by visionaries who infused the marques with passion and a competitive spirit that speaks to employees and customers alike. Stellantis aspires to become the greatest, not the biggest while creating added value for all stakeholders as well as the communities in which it operates.</w:t>
      </w:r>
    </w:p>
    <w:p w:rsidR="003E2C46" w:rsidRPr="00CF2E3A" w:rsidRDefault="003E2C46" w:rsidP="003E2C46">
      <w:pPr>
        <w:spacing w:after="160" w:line="259" w:lineRule="auto"/>
        <w:rPr>
          <w:rFonts w:ascii="Calibri" w:hAnsi="Calibri" w:cs="Calibri"/>
          <w:sz w:val="22"/>
          <w:szCs w:val="22"/>
          <w:lang w:val="en-GB"/>
        </w:rPr>
      </w:pP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3E2C46" w:rsidRPr="00D64B4E" w:rsidTr="000C3559">
        <w:tc>
          <w:tcPr>
            <w:tcW w:w="2023" w:type="dxa"/>
            <w:vAlign w:val="bottom"/>
          </w:tcPr>
          <w:p w:rsidR="003E2C46" w:rsidRPr="00D64B4E" w:rsidRDefault="003E2C46"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pt;height:22.7pt" o:ole="">
                  <v:imagedata r:id="rId8" o:title=""/>
                </v:shape>
                <o:OLEObject Type="Embed" ProgID="PBrush" ShapeID="_x0000_i1025" DrawAspect="Content" ObjectID="_1684075123" r:id="rId9"/>
              </w:object>
            </w:r>
            <w:hyperlink r:id="rId10" w:history="1">
              <w:r w:rsidRPr="00D64B4E">
                <w:rPr>
                  <w:rStyle w:val="Lienhypertexte"/>
                  <w:rFonts w:ascii="Encode Sans ExpandedLight" w:eastAsia="Calibri" w:hAnsi="Encode Sans ExpandedLight" w:cs="Times New Roman"/>
                  <w:sz w:val="20"/>
                </w:rPr>
                <w:t>@Stellantis</w:t>
              </w:r>
            </w:hyperlink>
          </w:p>
        </w:tc>
        <w:tc>
          <w:tcPr>
            <w:tcW w:w="1967" w:type="dxa"/>
            <w:vAlign w:val="bottom"/>
          </w:tcPr>
          <w:p w:rsidR="003E2C46" w:rsidRPr="00D64B4E" w:rsidRDefault="003E2C46"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v:shape id="_x0000_i1026" type="#_x0000_t75" style="width:21.6pt;height:21.6pt" o:ole="">
                  <v:imagedata r:id="rId11" o:title=""/>
                </v:shape>
                <o:OLEObject Type="Embed" ProgID="PBrush" ShapeID="_x0000_i1026" DrawAspect="Content" ObjectID="_1684075124" r:id="rId12"/>
              </w:object>
            </w:r>
            <w:hyperlink r:id="rId13" w:history="1">
              <w:r w:rsidRPr="00D64B4E">
                <w:rPr>
                  <w:rStyle w:val="Lienhypertexte"/>
                  <w:rFonts w:ascii="Encode Sans ExpandedLight" w:eastAsia="Calibri" w:hAnsi="Encode Sans ExpandedLight" w:cs="Times New Roman"/>
                  <w:sz w:val="20"/>
                </w:rPr>
                <w:t>Stellantis</w:t>
              </w:r>
            </w:hyperlink>
          </w:p>
        </w:tc>
        <w:tc>
          <w:tcPr>
            <w:tcW w:w="1968" w:type="dxa"/>
            <w:vAlign w:val="bottom"/>
          </w:tcPr>
          <w:p w:rsidR="003E2C46" w:rsidRPr="00D64B4E" w:rsidRDefault="003E2C46"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v:shape id="_x0000_i1027" type="#_x0000_t75" style="width:21.05pt;height:21.05pt" o:ole="">
                  <v:imagedata r:id="rId14" o:title=""/>
                </v:shape>
                <o:OLEObject Type="Embed" ProgID="PBrush" ShapeID="_x0000_i1027" DrawAspect="Content" ObjectID="_1684075125" r:id="rId15"/>
              </w:object>
            </w:r>
            <w:hyperlink r:id="rId16" w:history="1">
              <w:r w:rsidRPr="00D64B4E">
                <w:rPr>
                  <w:rStyle w:val="Lienhypertexte"/>
                  <w:rFonts w:ascii="Encode Sans ExpandedLight" w:eastAsia="Calibri" w:hAnsi="Encode Sans ExpandedLight" w:cs="Times New Roman"/>
                  <w:sz w:val="20"/>
                </w:rPr>
                <w:t>Stellantis</w:t>
              </w:r>
            </w:hyperlink>
          </w:p>
        </w:tc>
        <w:tc>
          <w:tcPr>
            <w:tcW w:w="1968" w:type="dxa"/>
            <w:vAlign w:val="bottom"/>
          </w:tcPr>
          <w:p w:rsidR="003E2C46" w:rsidRPr="00D64B4E" w:rsidRDefault="003E2C46"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v:shape id="_x0000_i1028" type="#_x0000_t75" style="width:23.25pt;height:23.25pt" o:ole="">
                  <v:imagedata r:id="rId17" o:title=""/>
                </v:shape>
                <o:OLEObject Type="Embed" ProgID="PBrush" ShapeID="_x0000_i1028" DrawAspect="Content" ObjectID="_1684075126" r:id="rId18"/>
              </w:object>
            </w:r>
            <w:hyperlink r:id="rId19" w:history="1">
              <w:r w:rsidRPr="00D64B4E">
                <w:rPr>
                  <w:rStyle w:val="Lienhypertexte"/>
                  <w:rFonts w:ascii="Encode Sans ExpandedLight" w:eastAsia="Calibri" w:hAnsi="Encode Sans ExpandedLight" w:cs="Times New Roman"/>
                  <w:sz w:val="20"/>
                </w:rPr>
                <w:t>Stellantis</w:t>
              </w:r>
            </w:hyperlink>
          </w:p>
        </w:tc>
      </w:tr>
    </w:tbl>
    <w:p w:rsidR="000C3559" w:rsidRDefault="000C3559">
      <w:pPr>
        <w:jc w:val="left"/>
        <w:rPr>
          <w:lang w:val="en-GB"/>
        </w:rPr>
      </w:pPr>
    </w:p>
    <w:p w:rsidR="000C3559" w:rsidRDefault="000C3559">
      <w:pPr>
        <w:jc w:val="left"/>
        <w:rPr>
          <w:lang w:val="en-GB"/>
        </w:rPr>
      </w:pPr>
    </w:p>
    <w:tbl>
      <w:tblPr>
        <w:tblStyle w:val="Grilledutableau"/>
        <w:tblpPr w:leftFromText="141" w:rightFromText="141" w:vertAnchor="text" w:horzAnchor="margin" w:tblpY="2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0C3559" w:rsidRPr="000C3559" w:rsidTr="005B7398">
        <w:trPr>
          <w:trHeight w:val="1276"/>
        </w:trPr>
        <w:tc>
          <w:tcPr>
            <w:tcW w:w="7936" w:type="dxa"/>
          </w:tcPr>
          <w:p w:rsidR="000C3559" w:rsidRPr="00863AE2" w:rsidRDefault="000C3559" w:rsidP="005B7398">
            <w:pPr>
              <w:spacing w:after="360" w:line="288" w:lineRule="auto"/>
              <w:jc w:val="left"/>
              <w:rPr>
                <w:color w:val="243782" w:themeColor="text2"/>
                <w:sz w:val="20"/>
                <w:szCs w:val="20"/>
              </w:rPr>
            </w:pPr>
            <w:r>
              <w:rPr>
                <w:noProof/>
                <w:color w:val="243782" w:themeColor="text2"/>
                <w:sz w:val="20"/>
                <w:szCs w:val="20"/>
                <w:lang w:eastAsia="fr-FR"/>
              </w:rPr>
              <mc:AlternateContent>
                <mc:Choice Requires="wps">
                  <w:drawing>
                    <wp:inline distT="0" distB="0" distL="0" distR="0" wp14:anchorId="112348BD" wp14:editId="11AA3B67">
                      <wp:extent cx="432000" cy="61913"/>
                      <wp:effectExtent l="0" t="0" r="6350" b="0"/>
                      <wp:docPr id="36"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0F80E3D"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rsidR="000C3559" w:rsidRPr="00CF2E3A" w:rsidRDefault="00CF2E3A" w:rsidP="005B7398">
            <w:pPr>
              <w:spacing w:after="120" w:line="288" w:lineRule="auto"/>
              <w:jc w:val="left"/>
              <w:rPr>
                <w:b/>
                <w:color w:val="243782" w:themeColor="text2"/>
                <w:sz w:val="20"/>
                <w:szCs w:val="20"/>
                <w:lang w:val="en-GB"/>
              </w:rPr>
            </w:pPr>
            <w:r w:rsidRPr="00CF2E3A">
              <w:rPr>
                <w:b/>
                <w:color w:val="243782" w:themeColor="text2"/>
                <w:sz w:val="20"/>
                <w:szCs w:val="20"/>
                <w:lang w:val="en-GB"/>
              </w:rPr>
              <w:t>F</w:t>
            </w:r>
            <w:r>
              <w:rPr>
                <w:b/>
                <w:color w:val="243782" w:themeColor="text2"/>
                <w:sz w:val="20"/>
                <w:szCs w:val="20"/>
                <w:lang w:val="en-GB"/>
              </w:rPr>
              <w:t xml:space="preserve">or more information, </w:t>
            </w:r>
            <w:r w:rsidRPr="00CF2E3A">
              <w:rPr>
                <w:b/>
                <w:color w:val="243782" w:themeColor="text2"/>
                <w:sz w:val="20"/>
                <w:szCs w:val="20"/>
                <w:lang w:val="en-GB"/>
              </w:rPr>
              <w:t>contact</w:t>
            </w:r>
            <w:r w:rsidR="000C3559" w:rsidRPr="00CF2E3A">
              <w:rPr>
                <w:b/>
                <w:color w:val="243782" w:themeColor="text2"/>
                <w:sz w:val="20"/>
                <w:szCs w:val="20"/>
                <w:lang w:val="en-GB"/>
              </w:rPr>
              <w:t> :</w:t>
            </w:r>
          </w:p>
          <w:tbl>
            <w:tblPr>
              <w:tblStyle w:val="Grilledutableau"/>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9"/>
            </w:tblGrid>
            <w:tr w:rsidR="000C3559" w:rsidRPr="00CF2E3A" w:rsidTr="005B7398">
              <w:trPr>
                <w:trHeight w:val="307"/>
              </w:trPr>
              <w:tc>
                <w:tcPr>
                  <w:tcW w:w="8647" w:type="dxa"/>
                </w:tcPr>
                <w:p w:rsidR="000C3559" w:rsidRPr="00CF2E3A" w:rsidRDefault="000C3559" w:rsidP="009363B2">
                  <w:pPr>
                    <w:framePr w:hSpace="141" w:wrap="around" w:vAnchor="text" w:hAnchor="margin" w:y="287"/>
                    <w:spacing w:after="120" w:line="288" w:lineRule="auto"/>
                    <w:jc w:val="left"/>
                    <w:rPr>
                      <w:rStyle w:val="Textedelespacerserv"/>
                      <w:rFonts w:ascii="Encode Sans SemiBold" w:hAnsi="Encode Sans SemiBold"/>
                      <w:color w:val="243782" w:themeColor="text2"/>
                      <w:sz w:val="10"/>
                      <w:szCs w:val="20"/>
                      <w:lang w:val="en-GB"/>
                    </w:rPr>
                  </w:pPr>
                </w:p>
              </w:tc>
            </w:tr>
            <w:tr w:rsidR="000C3559" w:rsidRPr="000C3559" w:rsidTr="005B7398">
              <w:trPr>
                <w:trHeight w:val="71"/>
              </w:trPr>
              <w:tc>
                <w:tcPr>
                  <w:tcW w:w="8647" w:type="dxa"/>
                </w:tcPr>
                <w:tbl>
                  <w:tblPr>
                    <w:tblStyle w:val="Grilledutableau"/>
                    <w:tblW w:w="17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8647"/>
                  </w:tblGrid>
                  <w:tr w:rsidR="000C3559" w:rsidRPr="00422F65" w:rsidTr="005B7398">
                    <w:trPr>
                      <w:trHeight w:val="571"/>
                    </w:trPr>
                    <w:tc>
                      <w:tcPr>
                        <w:tcW w:w="8647" w:type="dxa"/>
                      </w:tcPr>
                      <w:p w:rsidR="000C3559" w:rsidRPr="00DF07E8" w:rsidRDefault="000C3559" w:rsidP="009363B2">
                        <w:pPr>
                          <w:framePr w:hSpace="141" w:wrap="around" w:vAnchor="text" w:hAnchor="margin" w:y="287"/>
                          <w:rPr>
                            <w:rStyle w:val="Textedelespacerserv"/>
                            <w:rFonts w:ascii="Encode Sans SemiBold" w:hAnsi="Encode Sans SemiBold"/>
                            <w:color w:val="243782" w:themeColor="text2"/>
                            <w:sz w:val="20"/>
                            <w:szCs w:val="20"/>
                            <w:lang w:val="it-IT"/>
                          </w:rPr>
                        </w:pPr>
                        <w:r>
                          <w:rPr>
                            <w:rStyle w:val="Textedelespacerserv"/>
                            <w:rFonts w:ascii="Encode Sans SemiBold" w:hAnsi="Encode Sans SemiBold"/>
                            <w:color w:val="243782" w:themeColor="text2"/>
                            <w:sz w:val="20"/>
                            <w:szCs w:val="20"/>
                            <w:lang w:val="it-IT"/>
                          </w:rPr>
                          <w:t>Frédéric BART</w:t>
                        </w:r>
                        <w:r>
                          <w:rPr>
                            <w:rStyle w:val="Textedelespacerserv"/>
                            <w:rFonts w:ascii="Encode Sans ExpandedLight" w:hAnsi="Encode Sans ExpandedLight"/>
                            <w:color w:val="243782" w:themeColor="text2"/>
                            <w:sz w:val="20"/>
                            <w:szCs w:val="20"/>
                            <w:lang w:val="it-IT"/>
                          </w:rPr>
                          <w:t xml:space="preserve">: </w:t>
                        </w:r>
                        <w:r w:rsidR="00CF2E3A">
                          <w:rPr>
                            <w:rStyle w:val="Textedelespacerserv"/>
                            <w:rFonts w:ascii="Encode Sans ExpandedLight" w:hAnsi="Encode Sans ExpandedLight"/>
                            <w:color w:val="243782" w:themeColor="text2"/>
                            <w:sz w:val="20"/>
                            <w:szCs w:val="20"/>
                            <w:lang w:val="it-IT"/>
                          </w:rPr>
                          <w:t xml:space="preserve">+ 33 </w:t>
                        </w:r>
                        <w:r w:rsidRPr="000C3559">
                          <w:rPr>
                            <w:rStyle w:val="Textedelespacerserv"/>
                            <w:rFonts w:ascii="Encode Sans ExpandedLight" w:hAnsi="Encode Sans ExpandedLight"/>
                            <w:color w:val="243782" w:themeColor="text2"/>
                            <w:sz w:val="20"/>
                            <w:szCs w:val="20"/>
                            <w:lang w:val="it-IT"/>
                          </w:rPr>
                          <w:t>6</w:t>
                        </w:r>
                        <w:r>
                          <w:rPr>
                            <w:rStyle w:val="Textedelespacerserv"/>
                            <w:rFonts w:ascii="Encode Sans ExpandedLight" w:hAnsi="Encode Sans ExpandedLight"/>
                            <w:color w:val="243782" w:themeColor="text2"/>
                            <w:sz w:val="20"/>
                            <w:szCs w:val="20"/>
                            <w:lang w:val="it-IT"/>
                          </w:rPr>
                          <w:t xml:space="preserve"> </w:t>
                        </w:r>
                        <w:r w:rsidRPr="000C3559">
                          <w:rPr>
                            <w:rStyle w:val="Textedelespacerserv"/>
                            <w:rFonts w:ascii="Encode Sans ExpandedLight" w:hAnsi="Encode Sans ExpandedLight"/>
                            <w:color w:val="243782" w:themeColor="text2"/>
                            <w:sz w:val="20"/>
                            <w:szCs w:val="20"/>
                            <w:lang w:val="it-IT"/>
                          </w:rPr>
                          <w:t>32</w:t>
                        </w:r>
                        <w:r>
                          <w:rPr>
                            <w:rStyle w:val="Textedelespacerserv"/>
                            <w:rFonts w:ascii="Encode Sans ExpandedLight" w:hAnsi="Encode Sans ExpandedLight"/>
                            <w:color w:val="243782" w:themeColor="text2"/>
                            <w:sz w:val="20"/>
                            <w:szCs w:val="20"/>
                            <w:lang w:val="it-IT"/>
                          </w:rPr>
                          <w:t xml:space="preserve"> </w:t>
                        </w:r>
                        <w:r w:rsidRPr="000C3559">
                          <w:rPr>
                            <w:rStyle w:val="Textedelespacerserv"/>
                            <w:rFonts w:ascii="Encode Sans ExpandedLight" w:hAnsi="Encode Sans ExpandedLight"/>
                            <w:color w:val="243782" w:themeColor="text2"/>
                            <w:sz w:val="20"/>
                            <w:szCs w:val="20"/>
                            <w:lang w:val="it-IT"/>
                          </w:rPr>
                          <w:t>13</w:t>
                        </w:r>
                        <w:r>
                          <w:rPr>
                            <w:rStyle w:val="Textedelespacerserv"/>
                            <w:rFonts w:ascii="Encode Sans ExpandedLight" w:hAnsi="Encode Sans ExpandedLight"/>
                            <w:color w:val="243782" w:themeColor="text2"/>
                            <w:sz w:val="20"/>
                            <w:szCs w:val="20"/>
                            <w:lang w:val="it-IT"/>
                          </w:rPr>
                          <w:t xml:space="preserve"> </w:t>
                        </w:r>
                        <w:r w:rsidRPr="000C3559">
                          <w:rPr>
                            <w:rStyle w:val="Textedelespacerserv"/>
                            <w:rFonts w:ascii="Encode Sans ExpandedLight" w:hAnsi="Encode Sans ExpandedLight"/>
                            <w:color w:val="243782" w:themeColor="text2"/>
                            <w:sz w:val="20"/>
                            <w:szCs w:val="20"/>
                            <w:lang w:val="it-IT"/>
                          </w:rPr>
                          <w:t>78</w:t>
                        </w:r>
                        <w:r>
                          <w:rPr>
                            <w:rStyle w:val="Textedelespacerserv"/>
                            <w:rFonts w:ascii="Encode Sans ExpandedLight" w:hAnsi="Encode Sans ExpandedLight"/>
                            <w:color w:val="243782" w:themeColor="text2"/>
                            <w:sz w:val="20"/>
                            <w:szCs w:val="20"/>
                            <w:lang w:val="it-IT"/>
                          </w:rPr>
                          <w:t xml:space="preserve"> </w:t>
                        </w:r>
                        <w:r w:rsidRPr="000C3559">
                          <w:rPr>
                            <w:rStyle w:val="Textedelespacerserv"/>
                            <w:rFonts w:ascii="Encode Sans ExpandedLight" w:hAnsi="Encode Sans ExpandedLight"/>
                            <w:color w:val="243782" w:themeColor="text2"/>
                            <w:sz w:val="20"/>
                            <w:szCs w:val="20"/>
                            <w:lang w:val="it-IT"/>
                          </w:rPr>
                          <w:t>80</w:t>
                        </w:r>
                        <w:r>
                          <w:rPr>
                            <w:rStyle w:val="Textedelespacerserv"/>
                            <w:rFonts w:ascii="Encode Sans ExpandedLight" w:hAnsi="Encode Sans ExpandedLight"/>
                            <w:color w:val="243782" w:themeColor="text2"/>
                            <w:sz w:val="20"/>
                            <w:szCs w:val="20"/>
                            <w:lang w:val="it-IT"/>
                          </w:rPr>
                          <w:t xml:space="preserve">– </w:t>
                        </w:r>
                        <w:r w:rsidRPr="000C3559">
                          <w:rPr>
                            <w:rFonts w:ascii="Encode Sans ExpandedLight" w:hAnsi="Encode Sans ExpandedLight"/>
                            <w:color w:val="243782" w:themeColor="text2"/>
                            <w:sz w:val="20"/>
                            <w:szCs w:val="20"/>
                            <w:lang w:val="it-IT"/>
                          </w:rPr>
                          <w:t>frederic.bart@stellantis.com</w:t>
                        </w:r>
                      </w:p>
                    </w:tc>
                    <w:tc>
                      <w:tcPr>
                        <w:tcW w:w="8647" w:type="dxa"/>
                      </w:tcPr>
                      <w:p w:rsidR="000C3559" w:rsidRPr="00DF07E8" w:rsidRDefault="000C3559" w:rsidP="009363B2">
                        <w:pPr>
                          <w:framePr w:hSpace="141" w:wrap="around" w:vAnchor="text" w:hAnchor="margin" w:y="287"/>
                          <w:rPr>
                            <w:rStyle w:val="Textedelespacerserv"/>
                            <w:rFonts w:ascii="Encode Sans SemiBold" w:hAnsi="Encode Sans SemiBold"/>
                            <w:color w:val="243782" w:themeColor="text2"/>
                            <w:sz w:val="20"/>
                            <w:szCs w:val="20"/>
                            <w:lang w:val="it-IT"/>
                          </w:rPr>
                        </w:pPr>
                        <w:r w:rsidRPr="00DF07E8">
                          <w:rPr>
                            <w:rStyle w:val="Textedelespacerserv"/>
                            <w:rFonts w:ascii="Encode Sans SemiBold" w:hAnsi="Encode Sans SemiBold"/>
                            <w:color w:val="243782" w:themeColor="text2"/>
                            <w:sz w:val="20"/>
                            <w:szCs w:val="20"/>
                            <w:lang w:val="it-IT"/>
                          </w:rPr>
                          <w:t>Claudio D’AMICO</w:t>
                        </w:r>
                        <w:r w:rsidRPr="00DF07E8">
                          <w:rPr>
                            <w:rStyle w:val="Textedelespacerserv"/>
                            <w:rFonts w:ascii="Encode Sans ExpandedLight" w:hAnsi="Encode Sans ExpandedLight"/>
                            <w:color w:val="243782" w:themeColor="text2"/>
                            <w:sz w:val="20"/>
                            <w:szCs w:val="20"/>
                            <w:lang w:val="it-IT"/>
                          </w:rPr>
                          <w:t xml:space="preserve">: +39 334 7107828 - </w:t>
                        </w:r>
                        <w:hyperlink r:id="rId20" w:history="1">
                          <w:r w:rsidRPr="00DF07E8">
                            <w:rPr>
                              <w:rStyle w:val="Lienhypertexte"/>
                              <w:rFonts w:ascii="Encode Sans ExpandedLight" w:hAnsi="Encode Sans ExpandedLight"/>
                              <w:sz w:val="20"/>
                              <w:szCs w:val="20"/>
                              <w:lang w:val="it-IT"/>
                            </w:rPr>
                            <w:t>claudio.damico@stellantis.com</w:t>
                          </w:r>
                        </w:hyperlink>
                      </w:p>
                    </w:tc>
                  </w:tr>
                  <w:tr w:rsidR="000C3559" w:rsidRPr="006648DB" w:rsidTr="005B7398">
                    <w:trPr>
                      <w:trHeight w:val="602"/>
                    </w:trPr>
                    <w:tc>
                      <w:tcPr>
                        <w:tcW w:w="8647" w:type="dxa"/>
                      </w:tcPr>
                      <w:p w:rsidR="000C3559" w:rsidRDefault="009363B2" w:rsidP="009363B2">
                        <w:pPr>
                          <w:framePr w:hSpace="141" w:wrap="around" w:vAnchor="text" w:hAnchor="margin" w:y="287"/>
                          <w:rPr>
                            <w:rFonts w:ascii="Encode Sans ExpandedLight" w:hAnsi="Encode Sans ExpandedLight"/>
                            <w:color w:val="243782" w:themeColor="text2"/>
                            <w:sz w:val="20"/>
                            <w:szCs w:val="20"/>
                          </w:rPr>
                        </w:pPr>
                        <w:hyperlink r:id="rId21" w:history="1">
                          <w:r w:rsidR="000C3559" w:rsidRPr="003651D8">
                            <w:rPr>
                              <w:rStyle w:val="Lienhypertexte"/>
                              <w:rFonts w:ascii="Encode Sans ExpandedLight" w:hAnsi="Encode Sans ExpandedLight"/>
                              <w:sz w:val="20"/>
                              <w:szCs w:val="20"/>
                            </w:rPr>
                            <w:t>www.stellantis.com</w:t>
                          </w:r>
                        </w:hyperlink>
                      </w:p>
                      <w:p w:rsidR="000C3559" w:rsidRPr="006F46A8" w:rsidRDefault="000C3559" w:rsidP="009363B2">
                        <w:pPr>
                          <w:framePr w:hSpace="141" w:wrap="around" w:vAnchor="text" w:hAnchor="margin" w:y="287"/>
                          <w:spacing w:after="120"/>
                          <w:jc w:val="left"/>
                          <w:rPr>
                            <w:rFonts w:ascii="Encode Sans SemiBold" w:hAnsi="Encode Sans SemiBold"/>
                            <w:color w:val="243782" w:themeColor="text2"/>
                            <w:sz w:val="20"/>
                            <w:szCs w:val="20"/>
                          </w:rPr>
                        </w:pPr>
                      </w:p>
                    </w:tc>
                    <w:tc>
                      <w:tcPr>
                        <w:tcW w:w="8647" w:type="dxa"/>
                      </w:tcPr>
                      <w:p w:rsidR="000C3559" w:rsidRPr="006F46A8" w:rsidRDefault="000C3559" w:rsidP="009363B2">
                        <w:pPr>
                          <w:framePr w:hSpace="141" w:wrap="around" w:vAnchor="text" w:hAnchor="margin" w:y="287"/>
                          <w:spacing w:after="120"/>
                          <w:jc w:val="left"/>
                          <w:rPr>
                            <w:rStyle w:val="Textedelespacerserv"/>
                            <w:rFonts w:ascii="Encode Sans ExpandedLight" w:hAnsi="Encode Sans ExpandedLight"/>
                            <w:b/>
                            <w:color w:val="243782" w:themeColor="text2"/>
                            <w:sz w:val="20"/>
                            <w:szCs w:val="20"/>
                          </w:rPr>
                        </w:pPr>
                        <w:r w:rsidRPr="006F46A8">
                          <w:rPr>
                            <w:rFonts w:ascii="Encode Sans SemiBold" w:hAnsi="Encode Sans SemiBold"/>
                            <w:color w:val="243782" w:themeColor="text2"/>
                            <w:sz w:val="20"/>
                            <w:szCs w:val="20"/>
                          </w:rPr>
                          <w:t>Karine DOUET:</w:t>
                        </w:r>
                        <w:r w:rsidRPr="006F46A8">
                          <w:rPr>
                            <w:rFonts w:ascii="Encode Sans ExpandedLight" w:hAnsi="Encode Sans ExpandedLight"/>
                            <w:b/>
                            <w:color w:val="243782" w:themeColor="text2"/>
                            <w:sz w:val="20"/>
                            <w:szCs w:val="20"/>
                          </w:rPr>
                          <w:t xml:space="preserve"> </w:t>
                        </w:r>
                        <w:r w:rsidRPr="006F46A8">
                          <w:rPr>
                            <w:rFonts w:ascii="Encode Sans ExpandedLight" w:hAnsi="Encode Sans ExpandedLight"/>
                            <w:color w:val="243782" w:themeColor="text2"/>
                            <w:sz w:val="20"/>
                            <w:szCs w:val="20"/>
                          </w:rPr>
                          <w:t xml:space="preserve">+33 6 61 64 03 83 - </w:t>
                        </w:r>
                        <w:hyperlink r:id="rId22" w:history="1">
                          <w:r w:rsidRPr="006F46A8">
                            <w:rPr>
                              <w:rFonts w:ascii="Encode Sans ExpandedLight" w:hAnsi="Encode Sans ExpandedLight"/>
                              <w:color w:val="243782" w:themeColor="text2"/>
                              <w:sz w:val="20"/>
                              <w:szCs w:val="20"/>
                            </w:rPr>
                            <w:t>karine.douet@stellantis.com</w:t>
                          </w:r>
                        </w:hyperlink>
                      </w:p>
                    </w:tc>
                  </w:tr>
                </w:tbl>
                <w:p w:rsidR="000C3559" w:rsidRPr="009363B2" w:rsidRDefault="000C3559" w:rsidP="009363B2">
                  <w:pPr>
                    <w:framePr w:hSpace="141" w:wrap="around" w:vAnchor="text" w:hAnchor="margin" w:y="287"/>
                    <w:rPr>
                      <w:rStyle w:val="Textedelespacerserv"/>
                      <w:rFonts w:ascii="Encode Sans ExpandedLight" w:hAnsi="Encode Sans ExpandedLight"/>
                      <w:color w:val="243782" w:themeColor="text2"/>
                      <w:sz w:val="20"/>
                      <w:szCs w:val="20"/>
                    </w:rPr>
                  </w:pPr>
                </w:p>
              </w:tc>
            </w:tr>
          </w:tbl>
          <w:p w:rsidR="000C3559" w:rsidRPr="009363B2" w:rsidRDefault="000C3559" w:rsidP="005B7398">
            <w:pPr>
              <w:spacing w:line="288" w:lineRule="auto"/>
              <w:jc w:val="left"/>
              <w:rPr>
                <w:color w:val="243782" w:themeColor="text2"/>
                <w:sz w:val="20"/>
                <w:szCs w:val="20"/>
              </w:rPr>
            </w:pPr>
          </w:p>
        </w:tc>
      </w:tr>
    </w:tbl>
    <w:p w:rsidR="00A33E8D" w:rsidRPr="009C3063" w:rsidRDefault="00A33E8D" w:rsidP="000C3559">
      <w:pPr>
        <w:jc w:val="left"/>
        <w:rPr>
          <w:sz w:val="18"/>
        </w:rPr>
      </w:pPr>
    </w:p>
    <w:sectPr w:rsidR="00A33E8D" w:rsidRPr="009C3063" w:rsidSect="0002070C">
      <w:footerReference w:type="default" r:id="rId23"/>
      <w:headerReference w:type="first" r:id="rId24"/>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975" w:rsidRDefault="00C51975" w:rsidP="0002070C">
      <w:r>
        <w:separator/>
      </w:r>
    </w:p>
  </w:endnote>
  <w:endnote w:type="continuationSeparator" w:id="0">
    <w:p w:rsidR="00C51975" w:rsidRDefault="00C51975"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35876D0B-0BFE-489D-BC3F-4F6BCA0B548E}"/>
    <w:embedBold r:id="rId2" w:fontKey="{B71EDF25-D997-4575-9F94-6CDF49AC8844}"/>
    <w:embedItalic r:id="rId3" w:fontKey="{ACBF812C-2A75-482E-B144-6B2F7CE3BBE6}"/>
    <w:embedBoldItalic r:id="rId4" w:fontKey="{F7F44D93-8E2C-4CF7-9713-F02D13C8E083}"/>
  </w:font>
  <w:font w:name="Encode Sans ExpandedSemiBold">
    <w:panose1 w:val="00000000000000000000"/>
    <w:charset w:val="00"/>
    <w:family w:val="auto"/>
    <w:pitch w:val="variable"/>
    <w:sig w:usb0="A00000FF" w:usb1="4000207B" w:usb2="00000000" w:usb3="00000000" w:csb0="00000193" w:csb1="00000000"/>
    <w:embedRegular r:id="rId5" w:fontKey="{EFD8C741-A0EE-400E-AF52-70BFAAF671CD}"/>
    <w:embedItalic r:id="rId6" w:fontKey="{C8AA2455-499E-4AEA-B9E2-FD7E3466A15A}"/>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embedRegular r:id="rId7" w:subsetted="1" w:fontKey="{631C5873-4F67-437C-AEC4-21F202AFE824}"/>
    <w:embedItalic r:id="rId8" w:subsetted="1" w:fontKey="{7FD3B5A3-D6E4-4F07-BEED-65F077305DD2}"/>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E1" w:rsidRPr="00A51B6A" w:rsidRDefault="00992BE1" w:rsidP="0002070C">
    <w:pPr>
      <w:pStyle w:val="SPagination"/>
      <w:rPr>
        <w:szCs w:val="16"/>
      </w:rPr>
    </w:pPr>
    <w:r w:rsidRPr="00A51B6A">
      <w:rPr>
        <w:szCs w:val="16"/>
      </w:rPr>
      <w:t xml:space="preserve">- </w:t>
    </w:r>
    <w:r w:rsidRPr="00A51B6A">
      <w:rPr>
        <w:rStyle w:val="Numrodepage"/>
        <w:szCs w:val="16"/>
      </w:rPr>
      <w:fldChar w:fldCharType="begin"/>
    </w:r>
    <w:r w:rsidRPr="00A51B6A">
      <w:rPr>
        <w:rStyle w:val="Numrodepage"/>
        <w:szCs w:val="16"/>
      </w:rPr>
      <w:instrText xml:space="preserve"> PAGE </w:instrText>
    </w:r>
    <w:r w:rsidRPr="00A51B6A">
      <w:rPr>
        <w:rStyle w:val="Numrodepage"/>
        <w:szCs w:val="16"/>
      </w:rPr>
      <w:fldChar w:fldCharType="separate"/>
    </w:r>
    <w:r w:rsidR="009363B2">
      <w:rPr>
        <w:rStyle w:val="Numrodepage"/>
        <w:noProof/>
        <w:szCs w:val="16"/>
      </w:rPr>
      <w:t>2</w:t>
    </w:r>
    <w:r w:rsidRPr="00A51B6A">
      <w:rPr>
        <w:rStyle w:val="Numrodepage"/>
        <w:szCs w:val="16"/>
      </w:rPr>
      <w:fldChar w:fldCharType="end"/>
    </w:r>
    <w:r w:rsidRPr="00A51B6A">
      <w:rPr>
        <w:rStyle w:val="Numrodepage"/>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975" w:rsidRDefault="00C51975" w:rsidP="0002070C">
      <w:r>
        <w:separator/>
      </w:r>
    </w:p>
  </w:footnote>
  <w:footnote w:type="continuationSeparator" w:id="0">
    <w:p w:rsidR="00C51975" w:rsidRDefault="00C51975" w:rsidP="0002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20" w:rsidRDefault="00A33E8D" w:rsidP="0002070C">
    <w:r w:rsidRPr="00A33E8D">
      <w:rPr>
        <w:noProof/>
        <w:lang w:eastAsia="fr-FR"/>
      </w:rPr>
      <mc:AlternateContent>
        <mc:Choice Requires="wpg">
          <w:drawing>
            <wp:anchor distT="0" distB="0" distL="114300" distR="114300" simplePos="0" relativeHeight="251660288" behindDoc="1" locked="1" layoutInCell="1" allowOverlap="1" wp14:anchorId="06A48849" wp14:editId="361D08F7">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61F66" w:rsidRPr="00683765" w:rsidRDefault="00A61F66" w:rsidP="00A61F66">
                            <w:pPr>
                              <w:pStyle w:val="SPRESSRELEASE-TITLE"/>
                            </w:pPr>
                            <w:r w:rsidRPr="00683765">
                              <w:t>PRESS RELEASE</w:t>
                            </w:r>
                          </w:p>
                          <w:p w:rsidR="00A33E8D" w:rsidRPr="00683765" w:rsidRDefault="00A33E8D" w:rsidP="00297094">
                            <w:pPr>
                              <w:pStyle w:val="SPRESSRELEASE-TITLE"/>
                            </w:pP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6A48849" id="Groupe 29" o:spid="_x0000_s1026" style="position:absolute;left:0;text-align:left;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NnwoAAIQ9AAAOAAAAZHJzL2Uyb0RvYy54bWzsW92PozgSfz/p/gfE40lM+DAGosmsEgKj&#10;leZ2V5o+3TNN6CS6BDigOz072v/9qmxD7DSk3XNzd32a7oc0mHLh+rm+XNjvf3o8HoyHomn3Vbkw&#10;nXe2aRRlXm325XZh/u0mtULTaLus3GSHqiwW5peiNX/68Oc/vT/V88KtdtVhUzQGMCnb+alemLuu&#10;q+ezWZvvimPWvqvqooSHd1VzzDq4bbazTZOdgPvxMHNtm85OVbOpmyov2hZa1/yh+YHxv7sr8u7X&#10;u7u26IzDwoSxdey3Yb+3+Dv78D6bb5us3u1zMYzsG0ZxzPYlvHRgtc66zLhv9k9YHfd5U7XVXfcu&#10;r46z6u5unxdMBpDGsS+k+dhU9zWTZTs/besBJoD2AqdvZpv/8vBbY+w3C9MzjTI7whSxtxaGGzGB&#10;isfuU9uhaHDFRfqapu7KT1JipXBlEXtFrFVCIit1vTBxgzR2PfoH9nboPG+KrAPl+HnTw+tQveGL&#10;iUZgyIwBzMb5NSXROozj1IqWLrHIykuspbcmlm/HJE7cNaVJ8gdO7IyNuf/PpJid6u2cyYwawi4/&#10;NvXn+reGTx5cfqryf7RGWcW7rNwWy7YGHQLNZgwvu+D99tz/8a45Ih+YVuOR6diXQccQvRwaXRqF&#10;gW8aOTxyPeK4xOdKmO9AU590y3eJ6Og5fuS4omNAqAdcuJD8tUy0YTCnGuypPatMq4c5WtOYJn7e&#10;ZXXBNLHl8LGpADG4yizvu4qRGMErVZr1chm4XmJbNKGhRYI4tFaRH1u+4yVxahM/tsMrSiOkRqVh&#10;l73GtJPqctagpqlOuyLbwBQ4AFh1A6qQbPaSUkkskX8L6mjcnv5abcAaM4CWYTqqXJ7DtYBbJ+rX&#10;hZp44CQVNcnmddN2H4vqaODFwmxAv9kLsgcwEa5RPQkqc1ml+8OB+clDqTSAffEWEOiJj4jsKAmT&#10;EAzUpQn4iPXaWqYxsWgKQ1576zheO9xHkPluv9kUJb5m8BFET18lH2FzH4EjbKvDfoPs2E2zvY0P&#10;jfGQQQgAhwV/AhCJbJY58jB6n4H90XCZJ/8K5ge+zgU/R8PAIinxrSiwQ8t2olVEbRKRdaqK9Glf&#10;Fv++SMZpYUa+67NZkgYNgsqy2ezvqWzZ/LjvIMge9seFGQ5E2RyVMik3bGq7bH/g1xIUOPwzFNyd&#10;9m6Uqyk3iNtq8wVUFtIA0Kdd1fxuGicIqQuz/ed91hSmcfi5BO2PHEIwBrMb4gcu3DTyk1v5SXl/&#10;jCuYMrCZrMyB68Ls+su44yEcYmiddZ/Kz3WOhDhdqLo3j3/PmlrodwcT+Av3TmNqzmlBSrQ8Loi4&#10;AffJxfuP+1Ha+9FfQUmN1xp3E3CTCUbbVZREFgnBe4ahY2MEXtHIDZZ2uvweLlTxl+iPFJ+r7SB9&#10;L8I4i2GWUi8E82GKjubM/CSJoImFYQ/+wutOsjgc9nWLETCbT/hJ1TAxfy0Gt5PleVF2PIe4cE+H&#10;UjFvydtC8ieMc8pQmftl8GDIeLPFdy9Kg8dzmkCxRcdmUz4W4P63STDkuL4DKmzZawqxKAxDK0oj&#10;27KJmxCIREt/TV6RMYLnJxSS1zdrfIuML1lhQPWArzBYZHR4iH991hgRSGkpSSwvpr5FaOhakR/5&#10;VrB2bCf0SJh68SuyRhcC3ps1vuWp05Wn8dgYqdbovtLYuKJeQl0vsKgdQ2yMVrEVucvEcsK1uwwC&#10;qBF5ryo22g6FRTqLjYFLHF9UJftMFYpqQ93HdXkeC2uxvh7Qr9XFcuctU/1RVo2QmyrB0Xul5pgQ&#10;z16CRVrpKl1bJA6IFZFwbaUh9exkFcUUyya40But12qX3r7TutGBUksfHN/M8a2I8/SzzHhwhORU&#10;mGPaFAV+sTIc8kpNMgwJWB8ER9tZQ4Rc2okVelDYTKgHq0oHvqGQa59QnjHJb6/Z8Ch4Ef+UijYl&#10;tu14F8Wa/J5XtOXqDHyK24ii9HYjJuYG+N8dD/CB7y8zI3SME/zwqtCZBGZxILGNnUGj6JIE1rES&#10;yRgT+JYmUYwyIQrJGBOoTg1MaOSNjwVKhwORPSoQFDQGikk2sM4aiMbZQO43UEyywZB0phodDprJ&#10;mSSKxsXChGegctxxTjLK00OSgZ7ipAW1I2PteONj0kLbkeF2wnFOCuBhOI4TltAHnNzxMbkq4hOK&#10;5MqIT3HSQtyVEZ/ipIW4KyPuRqM4uSriE/rkyoh7/jgnBfEpg/NkxCc4eVqIezLiU5y0EPdkxMm4&#10;X/MUxKf0yZMRJ3QUJ09FfEKfoKJ+1swpTlqI4zejQccnOBEtxImM+BQnLcSJgvg4TvBh/zzuSf9E&#10;ZMT9cU9HVMQndJzIiPvjXoVoIQ4r0PPIJzj5Woj7MuJTnLQQ92XE6bin8xXEp3TclxGn417FVxGf&#10;0HFfRnyKkxbiVEZ8ghPVQhyXLoO1BOOejqqIT+gTlRGfyJaogviUz6Qy4lOctBCnMuJTnLQQD2TE&#10;JzgFMuJSMggL1SG5zHZ810Q2zx9LkXDCFXyzhl1a/OtRXbW4rwezT/j+cdN/BgQqTFgniGEakbhP&#10;da8Tw0whcb8h6DoxTAYSByKJvk4MeCMxy4FB7OvEmP4hNeR4fDn/DLmQccjnnyEXUjp6YmK6xgaj&#10;JyjmZIxcT1RMvJAckisdUTG7YuR684kpFCPXExXzJEauJyomQ4xcT1TMeJAcshodUTGtYeR6omLu&#10;wsj1RMUEhZHriYpZCCPXExVTDSSHdEJHVMwnGLmeqJg0MHI9UTEzYOR6omL4Z+R6omKMR3KI4zqi&#10;YiBn5HqiYrRm5HqiYkhm5HqiYtxl5HqiYnBFcgigOqKK4t8NREktciEqhEItciEq1RMVAx4bu56o&#10;GNWQHCKXNBjuuEVwwv1+l7uhG9OA3dC32Ad2UGUdxrT+ErenQJnE2C1MrIVg87F6KG4qRtBhZMPH&#10;8NZ+o+H5cX5/u89Xxe8yMR+hqPHUrP/1Jhy9wke9k1lAli1kkPhea/wheFMZE0j9YKqGqhZHj+uk&#10;aNTCRIT6Cz5YtmHclVcOrYNBPTudahfQSTafOq16o+9RUNQF8hA++iutL2OvaDnkLYx9yPaaDTJx&#10;A6e8VYu9yD1El56RSDFopLzUVWTSY690GdhrtL4q9ooKigzpQl3hiINkDFqj93oYmD/uwcHiylO9&#10;H1r19V7t8oS9opgqrd7o+3FeYTT+Uj32vR9RVFDkYBfqihUbhOwFek8E9qoBiTTpQu+HVn3s1S49&#10;DDqtWuDoMBp/6Y/EnmVFAwyKffatIhV9SbQS+eWF+Ys0kkaKqxha9TVH7TKMU3h2NSdRabWmVu3y&#10;/dn3KCtWi9Wms332L8XK0blVa/RY/Dl3GRj14Kgv7Yeijz1VugzsNVr1Rq/BaPylL2OvqCDWnRCy&#10;/tMjz37EbvaX6H3Qo6xEK5GuX+j90KqPvdqlh0GnVQscHUbjL33C/lDKSxDBmKkekPYP80PVFnzZ&#10;hGsgtiFlWAwxlufPzN+82x9XTcMmf/ZybBnb0vp/e9zo+YMLw2Er3RNG3ePtI8zM+YyOOGyER45c&#10;XPSOnTdyfTz8Js4bwQU/a+TBZju44WeNHHYeCjZuPD1slHewKuYnj/57x43YIU446st0TxxLxrPE&#10;8j1cy4enP/wLAAD//wMAUEsDBBQABgAIAAAAIQBoMhXm3gAAAAgBAAAPAAAAZHJzL2Rvd25yZXYu&#10;eG1sTI9Ba8JAFITvhf6H5Qm91U0MNRLzIiJtT1KoFkpvz+wzCWZ3Q3ZN4r/vemqPwwwz3+SbSbdi&#10;4N411iDE8wgEm9KqxlQIX8e35xUI58koaq1hhBs72BSPDzllyo7mk4eDr0QoMS4jhNr7LpPSlTVr&#10;cnPbsQne2faafJB9JVVPYyjXrVxE0VJqakxYqKnjXc3l5XDVCO8jjdskfh32l/Pu9nN8+fjex4z4&#10;NJu2axCeJ/8Xhjt+QIciMJ3s1SgnWoQ0SkISYbUEcbfjRXhyQkjSNAFZ5PL/geIXAAD//wMAUEsB&#10;Ai0AFAAGAAgAAAAhALaDOJL+AAAA4QEAABMAAAAAAAAAAAAAAAAAAAAAAFtDb250ZW50X1R5cGVz&#10;XS54bWxQSwECLQAUAAYACAAAACEAOP0h/9YAAACUAQAACwAAAAAAAAAAAAAAAAAvAQAAX3JlbHMv&#10;LnJlbHNQSwECLQAUAAYACAAAACEA4ig/zZ8KAACEPQAADgAAAAAAAAAAAAAAAAAuAgAAZHJzL2Uy&#10;b0RvYy54bWxQSwECLQAUAAYACAAAACEAaDIV5t4AAAAIAQAADwAAAAAAAAAAAAAAAAD5DAAAZHJz&#10;L2Rvd25yZXYueG1sUEsFBgAAAAAEAAQA8wAAAAQ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rsidR="00A61F66" w:rsidRPr="00683765" w:rsidRDefault="00A61F66" w:rsidP="00A61F66">
                      <w:pPr>
                        <w:pStyle w:val="SPRESSRELEASE-TITLE"/>
                      </w:pPr>
                      <w:r w:rsidRPr="00683765">
                        <w:t>PRESS RELEASE</w:t>
                      </w:r>
                    </w:p>
                    <w:p w:rsidR="00A33E8D" w:rsidRPr="00683765" w:rsidRDefault="00A33E8D" w:rsidP="00297094">
                      <w:pPr>
                        <w:pStyle w:val="SPRESSRELEASE-TITLE"/>
                      </w:pPr>
                    </w:p>
                  </w:txbxContent>
                </v:textbox>
              </v:shape>
              <w10:wrap anchorx="page" anchory="page"/>
              <w10:anchorlock/>
            </v:group>
          </w:pict>
        </mc:Fallback>
      </mc:AlternateContent>
    </w:r>
    <w:r w:rsidR="005F2120">
      <w:rPr>
        <w:noProof/>
        <w:lang w:eastAsia="fr-FR"/>
      </w:rPr>
      <w:drawing>
        <wp:inline distT="0" distB="0" distL="0" distR="0" wp14:anchorId="1F04AB1E" wp14:editId="11256742">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635EFF"/>
    <w:multiLevelType w:val="hybridMultilevel"/>
    <w:tmpl w:val="65B658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559"/>
    <w:rsid w:val="00000BC0"/>
    <w:rsid w:val="0002070C"/>
    <w:rsid w:val="0002217B"/>
    <w:rsid w:val="00024492"/>
    <w:rsid w:val="00025506"/>
    <w:rsid w:val="00085213"/>
    <w:rsid w:val="00087197"/>
    <w:rsid w:val="00087566"/>
    <w:rsid w:val="00087FF0"/>
    <w:rsid w:val="000C18FF"/>
    <w:rsid w:val="000C3559"/>
    <w:rsid w:val="001760C8"/>
    <w:rsid w:val="00190445"/>
    <w:rsid w:val="001B4263"/>
    <w:rsid w:val="001B591C"/>
    <w:rsid w:val="001E3A5D"/>
    <w:rsid w:val="001E7847"/>
    <w:rsid w:val="00220B6B"/>
    <w:rsid w:val="002836DD"/>
    <w:rsid w:val="00293E0C"/>
    <w:rsid w:val="00297094"/>
    <w:rsid w:val="002C508D"/>
    <w:rsid w:val="002E142A"/>
    <w:rsid w:val="002F18EC"/>
    <w:rsid w:val="0036017D"/>
    <w:rsid w:val="003864AD"/>
    <w:rsid w:val="003A6735"/>
    <w:rsid w:val="003E2C46"/>
    <w:rsid w:val="003E68CC"/>
    <w:rsid w:val="00400B91"/>
    <w:rsid w:val="004022B4"/>
    <w:rsid w:val="00411411"/>
    <w:rsid w:val="00421C14"/>
    <w:rsid w:val="00425677"/>
    <w:rsid w:val="00433EDD"/>
    <w:rsid w:val="004345F9"/>
    <w:rsid w:val="0044219E"/>
    <w:rsid w:val="0045216F"/>
    <w:rsid w:val="004A2B09"/>
    <w:rsid w:val="004B5BE7"/>
    <w:rsid w:val="004B6675"/>
    <w:rsid w:val="004D61EA"/>
    <w:rsid w:val="00515C12"/>
    <w:rsid w:val="00537DB3"/>
    <w:rsid w:val="00544345"/>
    <w:rsid w:val="005708BD"/>
    <w:rsid w:val="005C1F23"/>
    <w:rsid w:val="005C5158"/>
    <w:rsid w:val="005C775F"/>
    <w:rsid w:val="005F2120"/>
    <w:rsid w:val="006074EF"/>
    <w:rsid w:val="00613FB1"/>
    <w:rsid w:val="0061682B"/>
    <w:rsid w:val="006279C9"/>
    <w:rsid w:val="006338ED"/>
    <w:rsid w:val="00646166"/>
    <w:rsid w:val="00655A10"/>
    <w:rsid w:val="00675B12"/>
    <w:rsid w:val="00682310"/>
    <w:rsid w:val="00683765"/>
    <w:rsid w:val="00683B2B"/>
    <w:rsid w:val="006B0549"/>
    <w:rsid w:val="006B5C7E"/>
    <w:rsid w:val="006E27BF"/>
    <w:rsid w:val="006F3D5A"/>
    <w:rsid w:val="00715647"/>
    <w:rsid w:val="00716893"/>
    <w:rsid w:val="00730F85"/>
    <w:rsid w:val="00736170"/>
    <w:rsid w:val="00776357"/>
    <w:rsid w:val="00785BAB"/>
    <w:rsid w:val="007A46E2"/>
    <w:rsid w:val="007E317D"/>
    <w:rsid w:val="007E49CE"/>
    <w:rsid w:val="0080313B"/>
    <w:rsid w:val="00805FAA"/>
    <w:rsid w:val="008124BD"/>
    <w:rsid w:val="00815B14"/>
    <w:rsid w:val="0082786D"/>
    <w:rsid w:val="00837340"/>
    <w:rsid w:val="00844956"/>
    <w:rsid w:val="0085397B"/>
    <w:rsid w:val="0086416D"/>
    <w:rsid w:val="00877117"/>
    <w:rsid w:val="00885B22"/>
    <w:rsid w:val="008B02AC"/>
    <w:rsid w:val="008B0D4F"/>
    <w:rsid w:val="008B4CD5"/>
    <w:rsid w:val="008F0F07"/>
    <w:rsid w:val="008F2A13"/>
    <w:rsid w:val="009363B2"/>
    <w:rsid w:val="00992BE1"/>
    <w:rsid w:val="009968C5"/>
    <w:rsid w:val="009A23AB"/>
    <w:rsid w:val="009B32DF"/>
    <w:rsid w:val="009C3063"/>
    <w:rsid w:val="009D180E"/>
    <w:rsid w:val="009D2071"/>
    <w:rsid w:val="009F2D88"/>
    <w:rsid w:val="00A14F62"/>
    <w:rsid w:val="00A33E8D"/>
    <w:rsid w:val="00A36A20"/>
    <w:rsid w:val="00A51B6A"/>
    <w:rsid w:val="00A61F66"/>
    <w:rsid w:val="00A71966"/>
    <w:rsid w:val="00A75948"/>
    <w:rsid w:val="00A87390"/>
    <w:rsid w:val="00AE0E14"/>
    <w:rsid w:val="00AF4CE0"/>
    <w:rsid w:val="00B02391"/>
    <w:rsid w:val="00B32F4C"/>
    <w:rsid w:val="00B64F18"/>
    <w:rsid w:val="00B92FB1"/>
    <w:rsid w:val="00B97678"/>
    <w:rsid w:val="00BC5305"/>
    <w:rsid w:val="00BD2ADB"/>
    <w:rsid w:val="00BE6DB5"/>
    <w:rsid w:val="00C10E75"/>
    <w:rsid w:val="00C21B90"/>
    <w:rsid w:val="00C31F14"/>
    <w:rsid w:val="00C508B7"/>
    <w:rsid w:val="00C51975"/>
    <w:rsid w:val="00C60A64"/>
    <w:rsid w:val="00C63CC0"/>
    <w:rsid w:val="00CA3356"/>
    <w:rsid w:val="00CF2E3A"/>
    <w:rsid w:val="00D00BDF"/>
    <w:rsid w:val="00D22355"/>
    <w:rsid w:val="00D265D9"/>
    <w:rsid w:val="00D35611"/>
    <w:rsid w:val="00D5456A"/>
    <w:rsid w:val="00D54C2A"/>
    <w:rsid w:val="00D57C97"/>
    <w:rsid w:val="00D65F41"/>
    <w:rsid w:val="00DA27E1"/>
    <w:rsid w:val="00DE72B9"/>
    <w:rsid w:val="00DF4282"/>
    <w:rsid w:val="00DF6BDB"/>
    <w:rsid w:val="00E21673"/>
    <w:rsid w:val="00E23B0D"/>
    <w:rsid w:val="00E45E88"/>
    <w:rsid w:val="00E47347"/>
    <w:rsid w:val="00E613A1"/>
    <w:rsid w:val="00E91808"/>
    <w:rsid w:val="00EE1EDD"/>
    <w:rsid w:val="00F5284E"/>
    <w:rsid w:val="00F74B70"/>
    <w:rsid w:val="00FB2C4C"/>
    <w:rsid w:val="00FB4171"/>
    <w:rsid w:val="00FD087F"/>
    <w:rsid w:val="00FD6CFC"/>
    <w:rsid w:val="00FF3D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E9E6E0"/>
  <w15:chartTrackingRefBased/>
  <w15:docId w15:val="{B775BF1B-E914-4A1C-9D3B-41CE85CA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C46"/>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5F2120"/>
    <w:pPr>
      <w:jc w:val="left"/>
    </w:pPr>
    <w:rPr>
      <w:color w:val="243782" w:themeColor="text2"/>
    </w:rPr>
  </w:style>
  <w:style w:type="character" w:customStyle="1" w:styleId="En-tteCar">
    <w:name w:val="En-tête Car"/>
    <w:basedOn w:val="Policepardfaut"/>
    <w:link w:val="En-tte"/>
    <w:uiPriority w:val="99"/>
    <w:semiHidden/>
    <w:rsid w:val="0086416D"/>
    <w:rPr>
      <w:color w:val="243782" w:themeColor="text2"/>
      <w:lang w:val="en-US"/>
    </w:rPr>
  </w:style>
  <w:style w:type="paragraph" w:styleId="Pieddepage">
    <w:name w:val="footer"/>
    <w:basedOn w:val="Normal"/>
    <w:link w:val="PieddepageCar"/>
    <w:uiPriority w:val="99"/>
    <w:semiHidden/>
    <w:rsid w:val="005F2120"/>
    <w:pPr>
      <w:jc w:val="left"/>
    </w:pPr>
    <w:rPr>
      <w:color w:val="243782" w:themeColor="text2"/>
    </w:rPr>
  </w:style>
  <w:style w:type="character" w:customStyle="1" w:styleId="PieddepageCar">
    <w:name w:val="Pied de page Car"/>
    <w:basedOn w:val="Policepardfaut"/>
    <w:link w:val="Pieddepage"/>
    <w:uiPriority w:val="99"/>
    <w:semiHidden/>
    <w:rsid w:val="0086416D"/>
    <w:rPr>
      <w:color w:val="243782" w:themeColor="text2"/>
      <w:lang w:val="en-US"/>
    </w:rPr>
  </w:style>
  <w:style w:type="character" w:styleId="Lienhypertexte">
    <w:name w:val="Hyperlink"/>
    <w:basedOn w:val="Policepardfaut"/>
    <w:uiPriority w:val="99"/>
    <w:semiHidden/>
    <w:rsid w:val="005F2120"/>
    <w:rPr>
      <w:color w:val="243782" w:themeColor="hyperlink"/>
      <w:u w:val="none"/>
    </w:rPr>
  </w:style>
  <w:style w:type="character" w:styleId="Textedelespacerserv">
    <w:name w:val="Placeholder Text"/>
    <w:basedOn w:val="Policepardfaut"/>
    <w:uiPriority w:val="99"/>
    <w:semiHidden/>
    <w:rsid w:val="005F2120"/>
    <w:rPr>
      <w:color w:val="808080"/>
    </w:rPr>
  </w:style>
  <w:style w:type="table" w:styleId="Grilledutableau">
    <w:name w:val="Table Grid"/>
    <w:basedOn w:val="Tableau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rPr>
  </w:style>
  <w:style w:type="paragraph" w:styleId="Paragraphedeliste">
    <w:name w:val="List Paragraph"/>
    <w:basedOn w:val="Normal"/>
    <w:uiPriority w:val="34"/>
    <w:qFormat/>
    <w:rsid w:val="0086416D"/>
    <w:pPr>
      <w:ind w:left="720"/>
      <w:contextualSpacing/>
    </w:pPr>
  </w:style>
  <w:style w:type="paragraph" w:customStyle="1" w:styleId="SBullet">
    <w:name w:val="S_Bullet"/>
    <w:basedOn w:val="Normal"/>
    <w:uiPriority w:val="2"/>
    <w:qFormat/>
    <w:rsid w:val="00D57C97"/>
    <w:pPr>
      <w:numPr>
        <w:numId w:val="11"/>
      </w:numPr>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
    <w:name w:val="Unresolved Mention"/>
    <w:basedOn w:val="Policepardfaut"/>
    <w:uiPriority w:val="99"/>
    <w:semiHidden/>
    <w:unhideWhenUsed/>
    <w:rsid w:val="004345F9"/>
    <w:rPr>
      <w:color w:val="605E5C"/>
      <w:shd w:val="clear" w:color="auto" w:fill="E1DFDD"/>
    </w:rPr>
  </w:style>
  <w:style w:type="paragraph" w:customStyle="1" w:styleId="SContact-Title">
    <w:name w:val="S_Contact - Title"/>
    <w:basedOn w:val="Normal"/>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Pieddepage"/>
    <w:link w:val="SPaginationCar"/>
    <w:qFormat/>
    <w:rsid w:val="00885B22"/>
    <w:pPr>
      <w:jc w:val="center"/>
    </w:pPr>
    <w:rPr>
      <w:szCs w:val="14"/>
    </w:rPr>
  </w:style>
  <w:style w:type="character" w:customStyle="1" w:styleId="SPaginationCar">
    <w:name w:val="S_Pagination Car"/>
    <w:basedOn w:val="PieddepageC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rPr>
  </w:style>
  <w:style w:type="paragraph" w:customStyle="1" w:styleId="STextitalic">
    <w:name w:val="S_Text italic"/>
    <w:basedOn w:val="Normal"/>
    <w:qFormat/>
    <w:rsid w:val="00025506"/>
    <w:rPr>
      <w:i/>
    </w:rPr>
  </w:style>
  <w:style w:type="table" w:customStyle="1" w:styleId="Grilledutableau2">
    <w:name w:val="Grille du tableau2"/>
    <w:basedOn w:val="TableauNormal"/>
    <w:next w:val="Grilledutableau"/>
    <w:uiPriority w:val="39"/>
    <w:rsid w:val="003E2C4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87197"/>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7197"/>
    <w:rPr>
      <w:rFonts w:ascii="Segoe UI" w:hAnsi="Segoe UI" w:cs="Segoe UI"/>
      <w:sz w:val="18"/>
      <w:szCs w:val="18"/>
    </w:rPr>
  </w:style>
  <w:style w:type="character" w:styleId="Marquedecommentaire">
    <w:name w:val="annotation reference"/>
    <w:basedOn w:val="Policepardfaut"/>
    <w:uiPriority w:val="99"/>
    <w:semiHidden/>
    <w:rsid w:val="00B97678"/>
    <w:rPr>
      <w:sz w:val="16"/>
      <w:szCs w:val="16"/>
    </w:rPr>
  </w:style>
  <w:style w:type="paragraph" w:styleId="Commentaire">
    <w:name w:val="annotation text"/>
    <w:basedOn w:val="Normal"/>
    <w:link w:val="CommentaireCar"/>
    <w:uiPriority w:val="99"/>
    <w:semiHidden/>
    <w:rsid w:val="00B97678"/>
    <w:rPr>
      <w:sz w:val="20"/>
      <w:szCs w:val="20"/>
    </w:rPr>
  </w:style>
  <w:style w:type="character" w:customStyle="1" w:styleId="CommentaireCar">
    <w:name w:val="Commentaire Car"/>
    <w:basedOn w:val="Policepardfaut"/>
    <w:link w:val="Commentaire"/>
    <w:uiPriority w:val="99"/>
    <w:semiHidden/>
    <w:rsid w:val="00B97678"/>
    <w:rPr>
      <w:sz w:val="20"/>
      <w:szCs w:val="20"/>
    </w:rPr>
  </w:style>
  <w:style w:type="paragraph" w:styleId="Objetducommentaire">
    <w:name w:val="annotation subject"/>
    <w:basedOn w:val="Commentaire"/>
    <w:next w:val="Commentaire"/>
    <w:link w:val="ObjetducommentaireCar"/>
    <w:uiPriority w:val="99"/>
    <w:semiHidden/>
    <w:unhideWhenUsed/>
    <w:rsid w:val="00B97678"/>
    <w:rPr>
      <w:b/>
      <w:bCs/>
    </w:rPr>
  </w:style>
  <w:style w:type="character" w:customStyle="1" w:styleId="ObjetducommentaireCar">
    <w:name w:val="Objet du commentaire Car"/>
    <w:basedOn w:val="CommentaireCar"/>
    <w:link w:val="Objetducommentaire"/>
    <w:uiPriority w:val="99"/>
    <w:semiHidden/>
    <w:rsid w:val="00B976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Stellantis" TargetMode="External"/><Relationship Id="rId18" Type="http://schemas.openxmlformats.org/officeDocument/2006/relationships/oleObject" Target="embeddings/oleObject4.bin"/><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stellantis.com"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inkedin.com/company/Stellantis" TargetMode="External"/><Relationship Id="rId20" Type="http://schemas.openxmlformats.org/officeDocument/2006/relationships/hyperlink" Target="mailto:claudio.damico@stellanti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1.xml"/><Relationship Id="rId10" Type="http://schemas.openxmlformats.org/officeDocument/2006/relationships/hyperlink" Target="https://twitter.com/stellantis" TargetMode="External"/><Relationship Id="rId19" Type="http://schemas.openxmlformats.org/officeDocument/2006/relationships/hyperlink" Target="https://www.youtube.com/channel/UCKgSLvI1SYKOTpEToycAz7Q"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hyperlink" Target="mailto:karine.douet@stellantis.com" TargetMode="Externa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U035310\00_DCOM\2021_Communiqu&#233;s%20de%20Presse\Template\2021mmjj_CP_Stellantis_Communiqu&#233;_de_Presse_A4_V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60355552A44AA9415A0192F930735"/>
        <w:category>
          <w:name w:val="Général"/>
          <w:gallery w:val="placeholder"/>
        </w:category>
        <w:types>
          <w:type w:val="bbPlcHdr"/>
        </w:types>
        <w:behaviors>
          <w:behavior w:val="content"/>
        </w:behaviors>
        <w:guid w:val="{626233B7-7DCA-4EB5-AE06-C26B7E327DAD}"/>
      </w:docPartPr>
      <w:docPartBody>
        <w:p w:rsidR="0050494E" w:rsidRDefault="00583680">
          <w:pPr>
            <w:pStyle w:val="C1560355552A44AA9415A0192F930735"/>
          </w:pPr>
          <w:r w:rsidRPr="0086416D">
            <w:rPr>
              <w:rStyle w:val="Textedelespacerserv"/>
              <w:color w:val="44546A" w:themeColor="text2"/>
            </w:rPr>
            <w:t>Press release 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4E"/>
    <w:rsid w:val="0050494E"/>
    <w:rsid w:val="00583680"/>
    <w:rsid w:val="00720201"/>
    <w:rsid w:val="00B70E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C1560355552A44AA9415A0192F930735">
    <w:name w:val="C1560355552A44AA9415A0192F930735"/>
  </w:style>
  <w:style w:type="paragraph" w:customStyle="1" w:styleId="78C94C9EBCE744668271183FF2C35632">
    <w:name w:val="78C94C9EBCE744668271183FF2C35632"/>
  </w:style>
  <w:style w:type="paragraph" w:customStyle="1" w:styleId="9E1F72AA621440748C44D4F3FB2AD203">
    <w:name w:val="9E1F72AA621440748C44D4F3FB2AD203"/>
  </w:style>
  <w:style w:type="paragraph" w:customStyle="1" w:styleId="24FA2AA0DC1C4491A5C1D88854A5935D">
    <w:name w:val="24FA2AA0DC1C4491A5C1D88854A5935D"/>
  </w:style>
  <w:style w:type="paragraph" w:customStyle="1" w:styleId="58868A79E8DE415B91D50822BFB3D202">
    <w:name w:val="58868A79E8DE415B91D50822BFB3D202"/>
  </w:style>
  <w:style w:type="paragraph" w:customStyle="1" w:styleId="9F50FB1B90424055BF96E840F4DF70B7">
    <w:name w:val="9F50FB1B90424055BF96E840F4DF70B7"/>
  </w:style>
  <w:style w:type="paragraph" w:customStyle="1" w:styleId="5CF7078715CF41E79B5BFC8C3FDA99EA">
    <w:name w:val="5CF7078715CF41E79B5BFC8C3FDA99EA"/>
  </w:style>
  <w:style w:type="paragraph" w:customStyle="1" w:styleId="16B8438E0DB54587A19DD9D1371F8F1D">
    <w:name w:val="16B8438E0DB54587A19DD9D1371F8F1D"/>
  </w:style>
  <w:style w:type="paragraph" w:customStyle="1" w:styleId="954E94B79350429984A2B480C019469E">
    <w:name w:val="954E94B79350429984A2B480C01946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33779-04B8-499A-ACE7-F4B1DA01B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2021mmjj_CP_Stellantis_Communiqué_de_Presse_A4_VF.dotx</Template>
  <TotalTime>0</TotalTime>
  <Pages>2</Pages>
  <Words>565</Words>
  <Characters>3112</Characters>
  <Application>Microsoft Office Word</Application>
  <DocSecurity>4</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A4</vt:lpstr>
      <vt:lpstr>Press Release A4</vt:lpstr>
    </vt:vector>
  </TitlesOfParts>
  <Company>Stellantis</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VANESSA GHUENASSIA - U035310</dc:creator>
  <cp:keywords/>
  <dc:description/>
  <cp:lastModifiedBy>FREDERIC BART</cp:lastModifiedBy>
  <cp:revision>2</cp:revision>
  <cp:lastPrinted>2021-01-20T13:02:00Z</cp:lastPrinted>
  <dcterms:created xsi:type="dcterms:W3CDTF">2021-06-01T15:52:00Z</dcterms:created>
  <dcterms:modified xsi:type="dcterms:W3CDTF">2021-06-01T15:52:00Z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2021-02-03T11:46:36Z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1f4d9d8a-d7b0-4c13-a013-dafb8b9e57fb</vt:lpwstr>
  </property>
  <property fmtid="{D5CDD505-2E9C-101B-9397-08002B2CF9AE}" pid="8" name="MSIP_Label_2fd53d93-3f4c-4b90-b511-bd6bdbb4fba9_ContentBits">
    <vt:lpwstr>0</vt:lpwstr>
  </property>
</Properties>
</file>