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7EE9B" w14:textId="1BD4BE57" w:rsidR="005C18FB" w:rsidRDefault="00E07170" w:rsidP="00D74DE2">
      <w:pPr>
        <w:spacing w:after="0" w:line="240" w:lineRule="auto"/>
        <w:jc w:val="center"/>
        <w:rPr>
          <w:rFonts w:ascii="Arial" w:hAnsi="Arial" w:cs="Arial"/>
          <w:b/>
          <w:sz w:val="28"/>
          <w:szCs w:val="28"/>
        </w:rPr>
      </w:pPr>
      <w:r>
        <w:rPr>
          <w:rFonts w:ascii="Arial" w:hAnsi="Arial"/>
          <w:b/>
          <w:sz w:val="28"/>
          <w:szCs w:val="28"/>
        </w:rPr>
        <w:t>Stell</w:t>
      </w:r>
      <w:r w:rsidR="00AA5C60">
        <w:rPr>
          <w:rFonts w:ascii="Arial" w:hAnsi="Arial"/>
          <w:b/>
          <w:sz w:val="28"/>
          <w:szCs w:val="28"/>
        </w:rPr>
        <w:t xml:space="preserve">antis et LG </w:t>
      </w:r>
      <w:proofErr w:type="spellStart"/>
      <w:r w:rsidR="00AA5C60">
        <w:rPr>
          <w:rFonts w:ascii="Arial" w:hAnsi="Arial"/>
          <w:b/>
          <w:sz w:val="28"/>
          <w:szCs w:val="28"/>
        </w:rPr>
        <w:t>Energy</w:t>
      </w:r>
      <w:proofErr w:type="spellEnd"/>
      <w:r w:rsidR="00AA5C60">
        <w:rPr>
          <w:rFonts w:ascii="Arial" w:hAnsi="Arial"/>
          <w:b/>
          <w:sz w:val="28"/>
          <w:szCs w:val="28"/>
        </w:rPr>
        <w:t xml:space="preserve"> Solution cré</w:t>
      </w:r>
      <w:r>
        <w:rPr>
          <w:rFonts w:ascii="Arial" w:hAnsi="Arial"/>
          <w:b/>
          <w:sz w:val="28"/>
          <w:szCs w:val="28"/>
        </w:rPr>
        <w:t xml:space="preserve">ent une </w:t>
      </w:r>
      <w:r w:rsidR="00AA5C60">
        <w:rPr>
          <w:rFonts w:ascii="Arial" w:hAnsi="Arial"/>
          <w:b/>
          <w:sz w:val="28"/>
          <w:szCs w:val="28"/>
        </w:rPr>
        <w:t>co-entreprise</w:t>
      </w:r>
      <w:r w:rsidR="00D51BA7">
        <w:rPr>
          <w:rFonts w:ascii="Arial" w:hAnsi="Arial"/>
          <w:b/>
          <w:sz w:val="28"/>
          <w:szCs w:val="28"/>
        </w:rPr>
        <w:t xml:space="preserve"> </w:t>
      </w:r>
      <w:r>
        <w:rPr>
          <w:rFonts w:ascii="Arial" w:hAnsi="Arial"/>
          <w:b/>
          <w:sz w:val="28"/>
          <w:szCs w:val="28"/>
        </w:rPr>
        <w:t>pour la production de batteries lithium-ion en Amérique du Nord</w:t>
      </w:r>
    </w:p>
    <w:p w14:paraId="163B3E5D" w14:textId="77777777" w:rsidR="00C628B0" w:rsidRDefault="00C628B0" w:rsidP="00830308">
      <w:pPr>
        <w:spacing w:after="0" w:line="240" w:lineRule="auto"/>
        <w:jc w:val="center"/>
        <w:rPr>
          <w:rFonts w:ascii="Arial" w:hAnsi="Arial" w:cs="Arial"/>
          <w:b/>
          <w:sz w:val="28"/>
          <w:szCs w:val="28"/>
        </w:rPr>
      </w:pPr>
    </w:p>
    <w:p w14:paraId="4CFDDD84" w14:textId="738EA6FB" w:rsidR="00F0146E" w:rsidRPr="00515385" w:rsidRDefault="00F0146E" w:rsidP="00515385">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Pr>
          <w:rFonts w:ascii="Arial" w:hAnsi="Arial"/>
          <w:sz w:val="24"/>
          <w:szCs w:val="24"/>
        </w:rPr>
        <w:t>Nouvelle usine de batteries avec une capacité de production annuelle de 40 gigawattheures</w:t>
      </w:r>
      <w:r w:rsidR="00D51BA7">
        <w:rPr>
          <w:rFonts w:ascii="Arial" w:hAnsi="Arial"/>
          <w:sz w:val="24"/>
          <w:szCs w:val="24"/>
        </w:rPr>
        <w:t xml:space="preserve"> (</w:t>
      </w:r>
      <w:proofErr w:type="spellStart"/>
      <w:r w:rsidR="00D51BA7">
        <w:rPr>
          <w:rFonts w:ascii="Arial" w:hAnsi="Arial"/>
          <w:sz w:val="24"/>
          <w:szCs w:val="24"/>
        </w:rPr>
        <w:t>GWh</w:t>
      </w:r>
      <w:proofErr w:type="spellEnd"/>
      <w:r w:rsidR="00D51BA7">
        <w:rPr>
          <w:rFonts w:ascii="Arial" w:hAnsi="Arial"/>
          <w:sz w:val="24"/>
          <w:szCs w:val="24"/>
        </w:rPr>
        <w:t xml:space="preserve">) ; </w:t>
      </w:r>
      <w:r w:rsidR="00D51BA7" w:rsidRPr="00515385">
        <w:rPr>
          <w:rFonts w:ascii="Arial" w:hAnsi="Arial"/>
          <w:sz w:val="24"/>
          <w:szCs w:val="24"/>
        </w:rPr>
        <w:t>D</w:t>
      </w:r>
      <w:r w:rsidRPr="00515385">
        <w:rPr>
          <w:rFonts w:ascii="Arial" w:hAnsi="Arial"/>
          <w:sz w:val="24"/>
          <w:szCs w:val="24"/>
        </w:rPr>
        <w:t>émarrage prévu au premier trimestre 2024</w:t>
      </w:r>
      <w:r w:rsidR="00E03143">
        <w:rPr>
          <w:rFonts w:ascii="Arial" w:hAnsi="Arial"/>
          <w:sz w:val="24"/>
          <w:szCs w:val="24"/>
        </w:rPr>
        <w:t> </w:t>
      </w:r>
    </w:p>
    <w:p w14:paraId="4227E2ED" w14:textId="5300803B" w:rsidR="00F0146E" w:rsidRPr="00F0146E" w:rsidRDefault="00F0146E" w:rsidP="00830308">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Pr>
          <w:rFonts w:ascii="Arial" w:hAnsi="Arial"/>
          <w:sz w:val="24"/>
          <w:szCs w:val="24"/>
          <w:shd w:val="clear" w:color="auto" w:fill="FFFFFF"/>
        </w:rPr>
        <w:t xml:space="preserve">Nouvelle étape importante pour </w:t>
      </w:r>
      <w:r w:rsidR="00D51BA7">
        <w:rPr>
          <w:rFonts w:ascii="Arial" w:hAnsi="Arial"/>
          <w:sz w:val="24"/>
          <w:szCs w:val="24"/>
          <w:shd w:val="clear" w:color="auto" w:fill="FFFFFF"/>
        </w:rPr>
        <w:t>l’électrification</w:t>
      </w:r>
      <w:r>
        <w:rPr>
          <w:rFonts w:ascii="Arial" w:hAnsi="Arial"/>
          <w:sz w:val="24"/>
          <w:szCs w:val="24"/>
          <w:shd w:val="clear" w:color="auto" w:fill="FFFFFF"/>
        </w:rPr>
        <w:t xml:space="preserve"> en Amérique du Nord</w:t>
      </w:r>
    </w:p>
    <w:p w14:paraId="67F5267A" w14:textId="77777777" w:rsidR="0007479D" w:rsidRDefault="0007479D" w:rsidP="00C61A4B">
      <w:pPr>
        <w:rPr>
          <w:rFonts w:ascii="Arial" w:hAnsi="Arial" w:cs="Arial"/>
          <w:b/>
          <w:sz w:val="22"/>
        </w:rPr>
      </w:pPr>
    </w:p>
    <w:p w14:paraId="291756BE" w14:textId="6ED82560" w:rsidR="00C61A4B" w:rsidRDefault="005A49A6" w:rsidP="00830308">
      <w:pPr>
        <w:spacing w:after="0" w:line="240" w:lineRule="auto"/>
        <w:rPr>
          <w:rFonts w:ascii="Arial" w:eastAsia="Times New Roman" w:hAnsi="Arial" w:cs="Arial"/>
          <w:sz w:val="22"/>
          <w:shd w:val="clear" w:color="auto" w:fill="FFFFFF"/>
        </w:rPr>
      </w:pPr>
      <w:r>
        <w:rPr>
          <w:rFonts w:ascii="Arial" w:hAnsi="Arial"/>
          <w:b/>
          <w:sz w:val="22"/>
        </w:rPr>
        <w:t>AMSTERDAM, le 18 octobre 2021</w:t>
      </w:r>
      <w:r>
        <w:rPr>
          <w:rFonts w:ascii="Arial" w:hAnsi="Arial"/>
          <w:b/>
          <w:bCs/>
          <w:sz w:val="22"/>
        </w:rPr>
        <w:t xml:space="preserve"> - </w:t>
      </w:r>
      <w:hyperlink r:id="rId7" w:history="1"/>
      <w:hyperlink r:id="rId8" w:history="1">
        <w:r w:rsidR="00E14066" w:rsidRPr="007D2F7F">
          <w:rPr>
            <w:rStyle w:val="Hyperlink"/>
            <w:rFonts w:ascii="Arial" w:eastAsia="Times New Roman" w:hAnsi="Arial" w:cs="Arial"/>
            <w:sz w:val="22"/>
            <w:shd w:val="clear" w:color="auto" w:fill="FFFFFF"/>
          </w:rPr>
          <w:t>Stellantis N.V.</w:t>
        </w:r>
      </w:hyperlink>
      <w:r w:rsidR="00E14066" w:rsidRPr="007D2F7F">
        <w:rPr>
          <w:rFonts w:ascii="Arial" w:eastAsia="Times New Roman" w:hAnsi="Arial" w:cs="Arial"/>
          <w:sz w:val="22"/>
          <w:shd w:val="clear" w:color="auto" w:fill="FFFFFF"/>
        </w:rPr>
        <w:t xml:space="preserve"> (NYSE / MTA / Euronext Paris: STLA)</w:t>
      </w:r>
      <w:r w:rsidR="00E14066">
        <w:rPr>
          <w:rFonts w:ascii="Arial" w:hAnsi="Arial"/>
          <w:sz w:val="22"/>
          <w:shd w:val="clear" w:color="auto" w:fill="FFFFFF"/>
        </w:rPr>
        <w:t xml:space="preserve"> </w:t>
      </w:r>
      <w:r>
        <w:rPr>
          <w:rFonts w:ascii="Arial" w:hAnsi="Arial"/>
          <w:sz w:val="22"/>
          <w:shd w:val="clear" w:color="auto" w:fill="FFFFFF"/>
        </w:rPr>
        <w:t xml:space="preserve">et </w:t>
      </w:r>
      <w:r>
        <w:rPr>
          <w:rFonts w:ascii="Arial" w:hAnsi="Arial"/>
          <w:sz w:val="22"/>
        </w:rPr>
        <w:t xml:space="preserve">LG </w:t>
      </w:r>
      <w:proofErr w:type="spellStart"/>
      <w:r>
        <w:rPr>
          <w:rFonts w:ascii="Arial" w:hAnsi="Arial"/>
          <w:sz w:val="22"/>
        </w:rPr>
        <w:t>Energy</w:t>
      </w:r>
      <w:proofErr w:type="spellEnd"/>
      <w:r>
        <w:rPr>
          <w:rFonts w:ascii="Arial" w:hAnsi="Arial"/>
          <w:sz w:val="22"/>
        </w:rPr>
        <w:t xml:space="preserve"> </w:t>
      </w:r>
      <w:r>
        <w:rPr>
          <w:rFonts w:ascii="Arial" w:hAnsi="Arial"/>
          <w:sz w:val="22"/>
          <w:shd w:val="clear" w:color="auto" w:fill="FFFFFF"/>
        </w:rPr>
        <w:t xml:space="preserve">Solution ont </w:t>
      </w:r>
      <w:r w:rsidR="00D51BA7">
        <w:rPr>
          <w:rFonts w:ascii="Arial" w:hAnsi="Arial"/>
          <w:sz w:val="22"/>
          <w:shd w:val="clear" w:color="auto" w:fill="FFFFFF"/>
        </w:rPr>
        <w:t>signé un</w:t>
      </w:r>
      <w:r>
        <w:rPr>
          <w:rFonts w:ascii="Arial" w:hAnsi="Arial"/>
          <w:sz w:val="22"/>
          <w:shd w:val="clear" w:color="auto" w:fill="FFFFFF"/>
        </w:rPr>
        <w:t xml:space="preserve"> protocole d’accord pour la production de cellules et de modules de batteries en Amérique du Nord. </w:t>
      </w:r>
    </w:p>
    <w:p w14:paraId="16CA9D42" w14:textId="77777777" w:rsidR="0007479D" w:rsidRDefault="0007479D" w:rsidP="00830308">
      <w:pPr>
        <w:spacing w:after="0" w:line="240" w:lineRule="auto"/>
        <w:rPr>
          <w:rFonts w:ascii="Arial" w:eastAsia="Times New Roman" w:hAnsi="Arial" w:cs="Arial"/>
          <w:sz w:val="22"/>
          <w:shd w:val="clear" w:color="auto" w:fill="FFFFFF"/>
        </w:rPr>
      </w:pPr>
    </w:p>
    <w:p w14:paraId="6B36EE40" w14:textId="2F42D277" w:rsidR="0007479D" w:rsidRPr="00897EB8" w:rsidRDefault="005C18FB" w:rsidP="00965494">
      <w:pPr>
        <w:spacing w:after="0" w:line="240" w:lineRule="auto"/>
        <w:rPr>
          <w:rFonts w:ascii="Arial" w:eastAsia="Times New Roman" w:hAnsi="Arial" w:cs="Arial"/>
          <w:sz w:val="22"/>
          <w:shd w:val="clear" w:color="auto" w:fill="FFFFFF"/>
        </w:rPr>
      </w:pPr>
      <w:r>
        <w:rPr>
          <w:rFonts w:ascii="Arial" w:hAnsi="Arial"/>
          <w:sz w:val="22"/>
          <w:shd w:val="clear" w:color="auto" w:fill="FFFFFF"/>
        </w:rPr>
        <w:t xml:space="preserve">Les parties concernées prévoient la construction par la </w:t>
      </w:r>
      <w:r w:rsidR="00D51BA7">
        <w:rPr>
          <w:rFonts w:ascii="Arial" w:hAnsi="Arial"/>
          <w:sz w:val="22"/>
          <w:shd w:val="clear" w:color="auto" w:fill="FFFFFF"/>
        </w:rPr>
        <w:t>co-entreprise</w:t>
      </w:r>
      <w:r>
        <w:rPr>
          <w:rFonts w:ascii="Arial" w:hAnsi="Arial"/>
          <w:sz w:val="22"/>
          <w:shd w:val="clear" w:color="auto" w:fill="FFFFFF"/>
        </w:rPr>
        <w:t xml:space="preserve"> d’une nouvelle usine de fabrication de batteries qui aidera Stellantis à atteindre son objectif : que les véhicules électrifiés représentent plus de 40 % des ventes réalisées aux États-Unis à l’horizon 2030. Avec un démarrage prévu au premier trimestre 2024, l’usine vise une capacité d</w:t>
      </w:r>
      <w:bookmarkStart w:id="0" w:name="_GoBack"/>
      <w:bookmarkEnd w:id="0"/>
      <w:r>
        <w:rPr>
          <w:rFonts w:ascii="Arial" w:hAnsi="Arial"/>
          <w:sz w:val="22"/>
          <w:shd w:val="clear" w:color="auto" w:fill="FFFFFF"/>
        </w:rPr>
        <w:t>e production annuelle de 40 </w:t>
      </w:r>
      <w:proofErr w:type="spellStart"/>
      <w:r w:rsidR="00D51BA7">
        <w:rPr>
          <w:rFonts w:ascii="Arial" w:hAnsi="Arial"/>
          <w:sz w:val="22"/>
          <w:shd w:val="clear" w:color="auto" w:fill="FFFFFF"/>
        </w:rPr>
        <w:t>GWh</w:t>
      </w:r>
      <w:proofErr w:type="spellEnd"/>
      <w:r>
        <w:rPr>
          <w:rFonts w:ascii="Arial" w:hAnsi="Arial"/>
          <w:sz w:val="22"/>
          <w:shd w:val="clear" w:color="auto" w:fill="FFFFFF"/>
        </w:rPr>
        <w:t>. </w:t>
      </w:r>
    </w:p>
    <w:p w14:paraId="5BC5F5E9" w14:textId="77777777" w:rsidR="005C18FB" w:rsidRPr="00897EB8" w:rsidRDefault="005C18FB" w:rsidP="00830308">
      <w:pPr>
        <w:spacing w:after="0" w:line="240" w:lineRule="auto"/>
        <w:rPr>
          <w:rFonts w:ascii="Times New Roman" w:hAnsi="Times New Roman" w:cs="Times New Roman"/>
          <w:sz w:val="22"/>
        </w:rPr>
      </w:pPr>
    </w:p>
    <w:p w14:paraId="5477D598" w14:textId="1A036191" w:rsidR="005336A5" w:rsidRPr="00897EB8" w:rsidRDefault="005336A5" w:rsidP="00830308">
      <w:pPr>
        <w:spacing w:after="0" w:line="240" w:lineRule="auto"/>
        <w:rPr>
          <w:rFonts w:ascii="Arial" w:hAnsi="Arial" w:cs="Arial"/>
          <w:sz w:val="22"/>
        </w:rPr>
      </w:pPr>
      <w:r>
        <w:rPr>
          <w:rFonts w:ascii="Arial" w:hAnsi="Arial"/>
          <w:sz w:val="22"/>
        </w:rPr>
        <w:t xml:space="preserve">Les batteries produites dans la nouvelle usine seront livrées aux </w:t>
      </w:r>
      <w:r w:rsidR="00D51BA7">
        <w:rPr>
          <w:rFonts w:ascii="Arial" w:hAnsi="Arial"/>
          <w:sz w:val="22"/>
        </w:rPr>
        <w:t>sites</w:t>
      </w:r>
      <w:r>
        <w:rPr>
          <w:rFonts w:ascii="Arial" w:hAnsi="Arial"/>
          <w:sz w:val="22"/>
        </w:rPr>
        <w:t xml:space="preserve"> d’assemblage de Stellantis aux États-Unis, au Canada et au Mexique pour être installées sur les voitures électriques de nouvelle génération, hybrides rechargeables ou 100 % électriques, qui seront vendues </w:t>
      </w:r>
      <w:r w:rsidR="00D51BA7">
        <w:rPr>
          <w:rFonts w:ascii="Arial" w:hAnsi="Arial"/>
          <w:sz w:val="22"/>
        </w:rPr>
        <w:t>par</w:t>
      </w:r>
      <w:r>
        <w:rPr>
          <w:rFonts w:ascii="Arial" w:hAnsi="Arial"/>
          <w:sz w:val="22"/>
        </w:rPr>
        <w:t xml:space="preserve"> les différentes marques de Stellantis.</w:t>
      </w:r>
    </w:p>
    <w:p w14:paraId="16F65688" w14:textId="77777777" w:rsidR="0007479D" w:rsidRPr="00897EB8" w:rsidRDefault="0007479D" w:rsidP="00830308">
      <w:pPr>
        <w:spacing w:after="0" w:line="240" w:lineRule="auto"/>
        <w:rPr>
          <w:rFonts w:ascii="Arial" w:hAnsi="Arial" w:cs="Arial"/>
          <w:sz w:val="22"/>
        </w:rPr>
      </w:pPr>
    </w:p>
    <w:p w14:paraId="1449FBEB" w14:textId="751EB7D4" w:rsidR="005336A5" w:rsidRPr="004C28D3" w:rsidRDefault="00D51BA7" w:rsidP="00965494">
      <w:pPr>
        <w:spacing w:after="0" w:line="240" w:lineRule="auto"/>
        <w:rPr>
          <w:rFonts w:ascii="Arial" w:eastAsia="Times New Roman" w:hAnsi="Arial" w:cs="Arial"/>
          <w:i/>
          <w:sz w:val="22"/>
          <w:shd w:val="clear" w:color="auto" w:fill="FFFFFF"/>
        </w:rPr>
      </w:pPr>
      <w:r w:rsidRPr="004C28D3">
        <w:rPr>
          <w:rFonts w:ascii="Arial" w:hAnsi="Arial"/>
          <w:i/>
          <w:sz w:val="22"/>
          <w:shd w:val="clear" w:color="auto" w:fill="FFFFFF"/>
        </w:rPr>
        <w:t>« L’annonce d’</w:t>
      </w:r>
      <w:r w:rsidR="005336A5" w:rsidRPr="004C28D3">
        <w:rPr>
          <w:rFonts w:ascii="Arial" w:hAnsi="Arial"/>
          <w:i/>
          <w:sz w:val="22"/>
          <w:shd w:val="clear" w:color="auto" w:fill="FFFFFF"/>
        </w:rPr>
        <w:t xml:space="preserve">aujourd’hui est une nouvelle preuve du déploiement de notre feuille de route </w:t>
      </w:r>
      <w:r w:rsidRPr="004C28D3">
        <w:rPr>
          <w:rFonts w:ascii="Arial" w:hAnsi="Arial"/>
          <w:i/>
          <w:sz w:val="22"/>
          <w:shd w:val="clear" w:color="auto" w:fill="FFFFFF"/>
        </w:rPr>
        <w:t>offensive</w:t>
      </w:r>
      <w:r w:rsidR="005336A5" w:rsidRPr="004C28D3">
        <w:rPr>
          <w:rFonts w:ascii="Arial" w:hAnsi="Arial"/>
          <w:i/>
          <w:sz w:val="22"/>
          <w:shd w:val="clear" w:color="auto" w:fill="FFFFFF"/>
        </w:rPr>
        <w:t xml:space="preserve"> en matière d’électrification, </w:t>
      </w:r>
      <w:r w:rsidRPr="004C28D3">
        <w:rPr>
          <w:rFonts w:ascii="Arial" w:hAnsi="Arial"/>
          <w:i/>
          <w:sz w:val="22"/>
          <w:shd w:val="clear" w:color="auto" w:fill="FFFFFF"/>
        </w:rPr>
        <w:t>et</w:t>
      </w:r>
      <w:r w:rsidR="005336A5" w:rsidRPr="004C28D3">
        <w:rPr>
          <w:rFonts w:ascii="Arial" w:hAnsi="Arial"/>
          <w:i/>
          <w:sz w:val="22"/>
          <w:shd w:val="clear" w:color="auto" w:fill="FFFFFF"/>
        </w:rPr>
        <w:t xml:space="preserve"> du respect des engage</w:t>
      </w:r>
      <w:r w:rsidR="00AA5C60" w:rsidRPr="004C28D3">
        <w:rPr>
          <w:rFonts w:ascii="Arial" w:hAnsi="Arial"/>
          <w:i/>
          <w:sz w:val="22"/>
          <w:shd w:val="clear" w:color="auto" w:fill="FFFFFF"/>
        </w:rPr>
        <w:t xml:space="preserve">ments </w:t>
      </w:r>
      <w:r w:rsidRPr="004C28D3">
        <w:rPr>
          <w:rFonts w:ascii="Arial" w:hAnsi="Arial"/>
          <w:i/>
          <w:sz w:val="22"/>
          <w:shd w:val="clear" w:color="auto" w:fill="FFFFFF"/>
        </w:rPr>
        <w:t>annoncé</w:t>
      </w:r>
      <w:r w:rsidR="00AA5C60" w:rsidRPr="004C28D3">
        <w:rPr>
          <w:rFonts w:ascii="Arial" w:hAnsi="Arial"/>
          <w:i/>
          <w:sz w:val="22"/>
          <w:shd w:val="clear" w:color="auto" w:fill="FFFFFF"/>
        </w:rPr>
        <w:t xml:space="preserve">s </w:t>
      </w:r>
      <w:r w:rsidRPr="004C28D3">
        <w:rPr>
          <w:rFonts w:ascii="Arial" w:hAnsi="Arial"/>
          <w:i/>
          <w:sz w:val="22"/>
          <w:shd w:val="clear" w:color="auto" w:fill="FFFFFF"/>
        </w:rPr>
        <w:t xml:space="preserve">lors de </w:t>
      </w:r>
      <w:r w:rsidR="00AA5C60" w:rsidRPr="004C28D3">
        <w:rPr>
          <w:rFonts w:ascii="Arial" w:hAnsi="Arial"/>
          <w:i/>
          <w:sz w:val="22"/>
          <w:shd w:val="clear" w:color="auto" w:fill="FFFFFF"/>
        </w:rPr>
        <w:t xml:space="preserve">notre </w:t>
      </w:r>
      <w:hyperlink r:id="rId9" w:history="1">
        <w:r w:rsidR="00AA5C60" w:rsidRPr="004C28D3">
          <w:rPr>
            <w:rStyle w:val="Hyperlink"/>
            <w:rFonts w:ascii="Arial" w:hAnsi="Arial"/>
            <w:i/>
            <w:sz w:val="22"/>
            <w:shd w:val="clear" w:color="auto" w:fill="FFFFFF"/>
          </w:rPr>
          <w:t>EV</w:t>
        </w:r>
        <w:r w:rsidR="00E14066">
          <w:rPr>
            <w:rStyle w:val="Hyperlink"/>
            <w:rFonts w:ascii="Arial" w:hAnsi="Arial"/>
            <w:i/>
            <w:sz w:val="22"/>
            <w:shd w:val="clear" w:color="auto" w:fill="FFFFFF"/>
          </w:rPr>
          <w:t xml:space="preserve"> </w:t>
        </w:r>
        <w:r w:rsidR="005336A5" w:rsidRPr="004C28D3">
          <w:rPr>
            <w:rStyle w:val="Hyperlink"/>
            <w:rFonts w:ascii="Arial" w:hAnsi="Arial"/>
            <w:i/>
            <w:sz w:val="22"/>
            <w:shd w:val="clear" w:color="auto" w:fill="FFFFFF"/>
          </w:rPr>
          <w:t>Day</w:t>
        </w:r>
      </w:hyperlink>
      <w:r w:rsidR="005336A5" w:rsidRPr="004C28D3">
        <w:rPr>
          <w:rFonts w:ascii="Arial" w:hAnsi="Arial"/>
          <w:i/>
          <w:sz w:val="22"/>
          <w:shd w:val="clear" w:color="auto" w:fill="FFFFFF"/>
        </w:rPr>
        <w:t xml:space="preserve"> de juillet », a déclaré Carlos </w:t>
      </w:r>
      <w:proofErr w:type="spellStart"/>
      <w:r w:rsidR="005336A5" w:rsidRPr="004C28D3">
        <w:rPr>
          <w:rFonts w:ascii="Arial" w:hAnsi="Arial"/>
          <w:i/>
          <w:sz w:val="22"/>
          <w:shd w:val="clear" w:color="auto" w:fill="FFFFFF"/>
        </w:rPr>
        <w:t>Tavares</w:t>
      </w:r>
      <w:proofErr w:type="spellEnd"/>
      <w:r w:rsidR="005336A5" w:rsidRPr="004C28D3">
        <w:rPr>
          <w:rFonts w:ascii="Arial" w:hAnsi="Arial"/>
          <w:i/>
          <w:sz w:val="22"/>
          <w:shd w:val="clear" w:color="auto" w:fill="FFFFFF"/>
        </w:rPr>
        <w:t>, CEO de Stellantis. « </w:t>
      </w:r>
      <w:r w:rsidRPr="004C28D3">
        <w:rPr>
          <w:rFonts w:ascii="Arial" w:hAnsi="Arial"/>
          <w:i/>
          <w:sz w:val="22"/>
          <w:shd w:val="clear" w:color="auto" w:fill="FFFFFF"/>
        </w:rPr>
        <w:t>Avec cette initiative</w:t>
      </w:r>
      <w:r w:rsidR="005336A5" w:rsidRPr="004C28D3">
        <w:rPr>
          <w:rFonts w:ascii="Arial" w:hAnsi="Arial"/>
          <w:i/>
          <w:sz w:val="22"/>
          <w:shd w:val="clear" w:color="auto" w:fill="FFFFFF"/>
        </w:rPr>
        <w:t xml:space="preserve">, nous avons </w:t>
      </w:r>
      <w:r w:rsidR="004C28D3">
        <w:rPr>
          <w:rFonts w:ascii="Arial" w:hAnsi="Arial"/>
          <w:i/>
          <w:sz w:val="22"/>
          <w:shd w:val="clear" w:color="auto" w:fill="FFFFFF"/>
        </w:rPr>
        <w:t>déterminé notre</w:t>
      </w:r>
      <w:r w:rsidR="00A23C8B" w:rsidRPr="004C28D3">
        <w:rPr>
          <w:rFonts w:ascii="Arial" w:hAnsi="Arial"/>
          <w:i/>
          <w:sz w:val="22"/>
          <w:shd w:val="clear" w:color="auto" w:fill="FFFFFF"/>
        </w:rPr>
        <w:t xml:space="preserve"> prochaine « </w:t>
      </w:r>
      <w:proofErr w:type="spellStart"/>
      <w:r w:rsidR="00A23C8B" w:rsidRPr="004C28D3">
        <w:rPr>
          <w:rFonts w:ascii="Arial" w:hAnsi="Arial"/>
          <w:i/>
          <w:sz w:val="22"/>
          <w:shd w:val="clear" w:color="auto" w:fill="FFFFFF"/>
        </w:rPr>
        <w:t>g</w:t>
      </w:r>
      <w:r w:rsidR="005336A5" w:rsidRPr="004C28D3">
        <w:rPr>
          <w:rFonts w:ascii="Arial" w:hAnsi="Arial"/>
          <w:i/>
          <w:sz w:val="22"/>
          <w:shd w:val="clear" w:color="auto" w:fill="FFFFFF"/>
        </w:rPr>
        <w:t>igafactory</w:t>
      </w:r>
      <w:proofErr w:type="spellEnd"/>
      <w:r w:rsidR="005336A5" w:rsidRPr="004C28D3">
        <w:rPr>
          <w:rFonts w:ascii="Arial" w:hAnsi="Arial"/>
          <w:i/>
          <w:sz w:val="22"/>
          <w:shd w:val="clear" w:color="auto" w:fill="FFFFFF"/>
        </w:rPr>
        <w:t> »</w:t>
      </w:r>
      <w:r w:rsidRPr="004C28D3">
        <w:rPr>
          <w:rFonts w:ascii="Arial" w:hAnsi="Arial"/>
          <w:i/>
          <w:sz w:val="22"/>
          <w:shd w:val="clear" w:color="auto" w:fill="FFFFFF"/>
        </w:rPr>
        <w:t xml:space="preserve">, </w:t>
      </w:r>
      <w:r w:rsidR="00817C6A">
        <w:rPr>
          <w:rFonts w:ascii="Arial" w:hAnsi="Arial"/>
          <w:i/>
          <w:sz w:val="22"/>
          <w:shd w:val="clear" w:color="auto" w:fill="FFFFFF"/>
        </w:rPr>
        <w:t>en vue</w:t>
      </w:r>
      <w:r w:rsidRPr="004C28D3">
        <w:rPr>
          <w:rFonts w:ascii="Arial" w:hAnsi="Arial"/>
          <w:i/>
          <w:sz w:val="22"/>
          <w:shd w:val="clear" w:color="auto" w:fill="FFFFFF"/>
        </w:rPr>
        <w:t xml:space="preserve"> </w:t>
      </w:r>
      <w:r w:rsidR="00817C6A">
        <w:rPr>
          <w:rFonts w:ascii="Arial" w:hAnsi="Arial"/>
          <w:i/>
          <w:sz w:val="22"/>
          <w:shd w:val="clear" w:color="auto" w:fill="FFFFFF"/>
        </w:rPr>
        <w:t>d’</w:t>
      </w:r>
      <w:r w:rsidRPr="004C28D3">
        <w:rPr>
          <w:rFonts w:ascii="Arial" w:hAnsi="Arial"/>
          <w:i/>
          <w:sz w:val="22"/>
          <w:shd w:val="clear" w:color="auto" w:fill="FFFFFF"/>
        </w:rPr>
        <w:t xml:space="preserve">atteindre une capacité totale d’au </w:t>
      </w:r>
      <w:proofErr w:type="gramStart"/>
      <w:r w:rsidRPr="004C28D3">
        <w:rPr>
          <w:rFonts w:ascii="Arial" w:hAnsi="Arial"/>
          <w:i/>
          <w:sz w:val="22"/>
          <w:shd w:val="clear" w:color="auto" w:fill="FFFFFF"/>
        </w:rPr>
        <w:t>moins</w:t>
      </w:r>
      <w:proofErr w:type="gramEnd"/>
      <w:r w:rsidR="005336A5" w:rsidRPr="004C28D3">
        <w:rPr>
          <w:rFonts w:ascii="Arial" w:hAnsi="Arial"/>
          <w:i/>
          <w:sz w:val="22"/>
          <w:shd w:val="clear" w:color="auto" w:fill="FFFFFF"/>
        </w:rPr>
        <w:t xml:space="preserve"> 260 </w:t>
      </w:r>
      <w:proofErr w:type="spellStart"/>
      <w:r w:rsidRPr="004C28D3">
        <w:rPr>
          <w:rFonts w:ascii="Arial" w:hAnsi="Arial"/>
          <w:i/>
          <w:sz w:val="22"/>
          <w:shd w:val="clear" w:color="auto" w:fill="FFFFFF"/>
        </w:rPr>
        <w:t>GWh</w:t>
      </w:r>
      <w:proofErr w:type="spellEnd"/>
      <w:r w:rsidR="005336A5" w:rsidRPr="004C28D3">
        <w:rPr>
          <w:rFonts w:ascii="Arial" w:hAnsi="Arial"/>
          <w:i/>
          <w:sz w:val="22"/>
          <w:shd w:val="clear" w:color="auto" w:fill="FFFFFF"/>
        </w:rPr>
        <w:t xml:space="preserve"> d’ici 2030. J’aimerais remercier chaleureusement chacune des personnes impliquées dans ce projet stratégique. Ensemble, nous </w:t>
      </w:r>
      <w:r w:rsidR="004C28D3" w:rsidRPr="004C28D3">
        <w:rPr>
          <w:rFonts w:ascii="Arial" w:hAnsi="Arial"/>
          <w:i/>
          <w:sz w:val="22"/>
          <w:shd w:val="clear" w:color="auto" w:fill="FFFFFF"/>
        </w:rPr>
        <w:t>serons à la pointe du secteur, avec des niveaux d’efficacité de référence pour l’industrie</w:t>
      </w:r>
      <w:r w:rsidR="005336A5" w:rsidRPr="004C28D3">
        <w:rPr>
          <w:rFonts w:ascii="Arial" w:hAnsi="Arial"/>
          <w:i/>
          <w:sz w:val="22"/>
          <w:shd w:val="clear" w:color="auto" w:fill="FFFFFF"/>
        </w:rPr>
        <w:t xml:space="preserve">, et </w:t>
      </w:r>
      <w:r w:rsidR="004C28D3" w:rsidRPr="004C28D3">
        <w:rPr>
          <w:rFonts w:ascii="Arial" w:hAnsi="Arial"/>
          <w:i/>
          <w:sz w:val="22"/>
          <w:shd w:val="clear" w:color="auto" w:fill="FFFFFF"/>
        </w:rPr>
        <w:t>nous proposerons</w:t>
      </w:r>
      <w:r w:rsidR="005336A5" w:rsidRPr="004C28D3">
        <w:rPr>
          <w:rFonts w:ascii="Arial" w:hAnsi="Arial"/>
          <w:i/>
          <w:sz w:val="22"/>
          <w:shd w:val="clear" w:color="auto" w:fill="FFFFFF"/>
        </w:rPr>
        <w:t xml:space="preserve"> des véhicules électriques </w:t>
      </w:r>
      <w:r w:rsidR="004C28D3" w:rsidRPr="004C28D3">
        <w:rPr>
          <w:rFonts w:ascii="Arial" w:hAnsi="Arial"/>
          <w:i/>
          <w:sz w:val="22"/>
          <w:shd w:val="clear" w:color="auto" w:fill="FFFFFF"/>
        </w:rPr>
        <w:t>qui susciteront</w:t>
      </w:r>
      <w:r w:rsidR="005336A5" w:rsidRPr="004C28D3">
        <w:rPr>
          <w:rFonts w:ascii="Arial" w:hAnsi="Arial"/>
          <w:i/>
          <w:sz w:val="22"/>
          <w:shd w:val="clear" w:color="auto" w:fill="FFFFFF"/>
        </w:rPr>
        <w:t xml:space="preserve"> les passions. »</w:t>
      </w:r>
    </w:p>
    <w:p w14:paraId="755215B9" w14:textId="77777777" w:rsidR="005336A5" w:rsidRPr="004C28D3" w:rsidRDefault="005336A5" w:rsidP="00830308">
      <w:pPr>
        <w:spacing w:after="0" w:line="240" w:lineRule="auto"/>
        <w:rPr>
          <w:rFonts w:ascii="Times New Roman" w:eastAsia="Times New Roman" w:hAnsi="Times New Roman" w:cs="Times New Roman"/>
          <w:i/>
          <w:sz w:val="22"/>
        </w:rPr>
      </w:pPr>
    </w:p>
    <w:p w14:paraId="3258308D" w14:textId="2A7894B5" w:rsidR="0007479D" w:rsidRPr="004C28D3" w:rsidRDefault="005336A5" w:rsidP="00965494">
      <w:pPr>
        <w:spacing w:after="0" w:line="240" w:lineRule="auto"/>
        <w:rPr>
          <w:rFonts w:ascii="Arial" w:eastAsia="Times New Roman" w:hAnsi="Arial" w:cs="Arial"/>
          <w:i/>
          <w:sz w:val="22"/>
          <w:shd w:val="clear" w:color="auto" w:fill="FFFFFF"/>
        </w:rPr>
      </w:pPr>
      <w:r w:rsidRPr="004C28D3">
        <w:rPr>
          <w:rFonts w:ascii="Arial" w:hAnsi="Arial"/>
          <w:i/>
          <w:sz w:val="22"/>
          <w:shd w:val="clear" w:color="auto" w:fill="FFFFFF"/>
        </w:rPr>
        <w:t xml:space="preserve">« La création d’une </w:t>
      </w:r>
      <w:r w:rsidR="004C28D3" w:rsidRPr="004C28D3">
        <w:rPr>
          <w:rFonts w:ascii="Arial" w:hAnsi="Arial"/>
          <w:i/>
          <w:sz w:val="22"/>
          <w:shd w:val="clear" w:color="auto" w:fill="FFFFFF"/>
        </w:rPr>
        <w:t>co-entreprise</w:t>
      </w:r>
      <w:r w:rsidRPr="004C28D3">
        <w:rPr>
          <w:rFonts w:ascii="Arial" w:hAnsi="Arial"/>
          <w:i/>
          <w:sz w:val="22"/>
          <w:shd w:val="clear" w:color="auto" w:fill="FFFFFF"/>
        </w:rPr>
        <w:t xml:space="preserve"> avec Stellantis sera une étape majeure de notre partenariat durable », a déclaré Jong-</w:t>
      </w:r>
      <w:proofErr w:type="spellStart"/>
      <w:r w:rsidRPr="004C28D3">
        <w:rPr>
          <w:rFonts w:ascii="Arial" w:hAnsi="Arial"/>
          <w:i/>
          <w:sz w:val="22"/>
          <w:shd w:val="clear" w:color="auto" w:fill="FFFFFF"/>
        </w:rPr>
        <w:t>hyun</w:t>
      </w:r>
      <w:proofErr w:type="spellEnd"/>
      <w:r w:rsidRPr="004C28D3">
        <w:rPr>
          <w:rFonts w:ascii="Arial" w:hAnsi="Arial"/>
          <w:i/>
          <w:sz w:val="22"/>
          <w:shd w:val="clear" w:color="auto" w:fill="FFFFFF"/>
        </w:rPr>
        <w:t xml:space="preserve"> Kim, </w:t>
      </w:r>
      <w:r w:rsidR="004C28D3" w:rsidRPr="004C28D3">
        <w:rPr>
          <w:rFonts w:ascii="Arial" w:hAnsi="Arial"/>
          <w:i/>
          <w:sz w:val="22"/>
          <w:shd w:val="clear" w:color="auto" w:fill="FFFFFF"/>
        </w:rPr>
        <w:t>CEO</w:t>
      </w:r>
      <w:r w:rsidRPr="004C28D3">
        <w:rPr>
          <w:rFonts w:ascii="Arial" w:hAnsi="Arial"/>
          <w:i/>
          <w:sz w:val="22"/>
          <w:shd w:val="clear" w:color="auto" w:fill="FFFFFF"/>
        </w:rPr>
        <w:t xml:space="preserve"> de LG </w:t>
      </w:r>
      <w:proofErr w:type="spellStart"/>
      <w:r w:rsidRPr="004C28D3">
        <w:rPr>
          <w:rFonts w:ascii="Arial" w:hAnsi="Arial"/>
          <w:i/>
          <w:sz w:val="22"/>
          <w:shd w:val="clear" w:color="auto" w:fill="FFFFFF"/>
        </w:rPr>
        <w:t>Energy</w:t>
      </w:r>
      <w:proofErr w:type="spellEnd"/>
      <w:r w:rsidRPr="004C28D3">
        <w:rPr>
          <w:rFonts w:ascii="Arial" w:hAnsi="Arial"/>
          <w:i/>
          <w:sz w:val="22"/>
          <w:shd w:val="clear" w:color="auto" w:fill="FFFFFF"/>
        </w:rPr>
        <w:t xml:space="preserve"> Solution. « LGES se positionnera comme fournisseur de batteries auprès des clients potentiels de la région grâce à nos compétences techniques collectives uniques et à nos capacités de production en série. »</w:t>
      </w:r>
    </w:p>
    <w:p w14:paraId="3B89F1E5" w14:textId="77777777" w:rsidR="0007479D" w:rsidRPr="00897EB8" w:rsidRDefault="0007479D" w:rsidP="00830308">
      <w:pPr>
        <w:spacing w:after="0" w:line="240" w:lineRule="auto"/>
        <w:rPr>
          <w:rFonts w:ascii="Arial" w:hAnsi="Arial" w:cs="Arial"/>
          <w:sz w:val="22"/>
          <w:shd w:val="clear" w:color="auto" w:fill="FFFFFF"/>
        </w:rPr>
      </w:pPr>
    </w:p>
    <w:p w14:paraId="0971E990" w14:textId="09C235B4" w:rsidR="005336A5" w:rsidRPr="00830308" w:rsidRDefault="004C28D3" w:rsidP="00830308">
      <w:pPr>
        <w:spacing w:after="0" w:line="240" w:lineRule="auto"/>
        <w:rPr>
          <w:rFonts w:ascii="Arial" w:hAnsi="Arial" w:cs="Arial"/>
          <w:sz w:val="22"/>
          <w:shd w:val="clear" w:color="auto" w:fill="FFFFFF"/>
        </w:rPr>
      </w:pPr>
      <w:r>
        <w:rPr>
          <w:rFonts w:ascii="Arial" w:hAnsi="Arial"/>
          <w:sz w:val="22"/>
          <w:shd w:val="clear" w:color="auto" w:fill="FFFFFF"/>
        </w:rPr>
        <w:t>Le partenariat entre le</w:t>
      </w:r>
      <w:r w:rsidR="0007479D">
        <w:rPr>
          <w:rFonts w:ascii="Arial" w:hAnsi="Arial"/>
          <w:sz w:val="22"/>
          <w:shd w:val="clear" w:color="auto" w:fill="FFFFFF"/>
        </w:rPr>
        <w:t xml:space="preserve">s deux entreprises dans le domaine des véhicules électrifiés remonte à 2014. À cette époque, LG </w:t>
      </w:r>
      <w:proofErr w:type="spellStart"/>
      <w:r w:rsidR="0007479D">
        <w:rPr>
          <w:rFonts w:ascii="Arial" w:hAnsi="Arial"/>
          <w:sz w:val="22"/>
          <w:shd w:val="clear" w:color="auto" w:fill="FFFFFF"/>
        </w:rPr>
        <w:t>Energy</w:t>
      </w:r>
      <w:proofErr w:type="spellEnd"/>
      <w:r w:rsidR="0007479D">
        <w:rPr>
          <w:rFonts w:ascii="Arial" w:hAnsi="Arial"/>
          <w:sz w:val="22"/>
          <w:shd w:val="clear" w:color="auto" w:fill="FFFFFF"/>
        </w:rPr>
        <w:t xml:space="preserve"> Solution (alors LG </w:t>
      </w:r>
      <w:proofErr w:type="spellStart"/>
      <w:r w:rsidR="0007479D">
        <w:rPr>
          <w:rFonts w:ascii="Arial" w:hAnsi="Arial"/>
          <w:sz w:val="22"/>
          <w:shd w:val="clear" w:color="auto" w:fill="FFFFFF"/>
        </w:rPr>
        <w:t>Chem</w:t>
      </w:r>
      <w:proofErr w:type="spellEnd"/>
      <w:r w:rsidR="0007479D">
        <w:rPr>
          <w:rFonts w:ascii="Arial" w:hAnsi="Arial"/>
          <w:sz w:val="22"/>
          <w:shd w:val="clear" w:color="auto" w:fill="FFFFFF"/>
        </w:rPr>
        <w:t>) avait été choisie par Stellantis (alors Fiat Chrysler Automobiles) pour lui fournir le système</w:t>
      </w:r>
      <w:r w:rsidR="00817C6A">
        <w:rPr>
          <w:rFonts w:ascii="Arial" w:hAnsi="Arial"/>
          <w:sz w:val="22"/>
          <w:shd w:val="clear" w:color="auto" w:fill="FFFFFF"/>
        </w:rPr>
        <w:t xml:space="preserve"> </w:t>
      </w:r>
      <w:r w:rsidR="0007479D">
        <w:rPr>
          <w:rFonts w:ascii="Arial" w:hAnsi="Arial"/>
          <w:sz w:val="22"/>
          <w:shd w:val="clear" w:color="auto" w:fill="FFFFFF"/>
        </w:rPr>
        <w:t>de batteries lithium-ion p</w:t>
      </w:r>
      <w:r w:rsidR="00A23C8B">
        <w:rPr>
          <w:rFonts w:ascii="Arial" w:hAnsi="Arial"/>
          <w:sz w:val="22"/>
          <w:shd w:val="clear" w:color="auto" w:fill="FFFFFF"/>
        </w:rPr>
        <w:t xml:space="preserve">our le </w:t>
      </w:r>
      <w:hyperlink r:id="rId10" w:history="1">
        <w:r w:rsidR="00A23C8B" w:rsidRPr="00A23C8B">
          <w:rPr>
            <w:rStyle w:val="Hyperlink"/>
            <w:rFonts w:ascii="Arial" w:hAnsi="Arial"/>
            <w:sz w:val="22"/>
            <w:shd w:val="clear" w:color="auto" w:fill="FFFFFF"/>
          </w:rPr>
          <w:t xml:space="preserve">Chrysler </w:t>
        </w:r>
        <w:proofErr w:type="spellStart"/>
        <w:r w:rsidR="00A23C8B" w:rsidRPr="00A23C8B">
          <w:rPr>
            <w:rStyle w:val="Hyperlink"/>
            <w:rFonts w:ascii="Arial" w:hAnsi="Arial"/>
            <w:sz w:val="22"/>
            <w:shd w:val="clear" w:color="auto" w:fill="FFFFFF"/>
          </w:rPr>
          <w:t>Pacifica</w:t>
        </w:r>
        <w:proofErr w:type="spellEnd"/>
        <w:r w:rsidR="00A23C8B" w:rsidRPr="00A23C8B">
          <w:rPr>
            <w:rStyle w:val="Hyperlink"/>
            <w:rFonts w:ascii="Arial" w:hAnsi="Arial"/>
            <w:sz w:val="22"/>
            <w:shd w:val="clear" w:color="auto" w:fill="FFFFFF"/>
          </w:rPr>
          <w:t xml:space="preserve"> </w:t>
        </w:r>
        <w:proofErr w:type="spellStart"/>
        <w:r w:rsidR="00A23C8B" w:rsidRPr="00A23C8B">
          <w:rPr>
            <w:rStyle w:val="Hyperlink"/>
            <w:rFonts w:ascii="Arial" w:hAnsi="Arial"/>
            <w:sz w:val="22"/>
            <w:shd w:val="clear" w:color="auto" w:fill="FFFFFF"/>
          </w:rPr>
          <w:t>Hybrid</w:t>
        </w:r>
        <w:proofErr w:type="spellEnd"/>
      </w:hyperlink>
      <w:r w:rsidR="0007479D">
        <w:rPr>
          <w:rFonts w:ascii="Arial" w:hAnsi="Arial"/>
          <w:sz w:val="22"/>
          <w:shd w:val="clear" w:color="auto" w:fill="FFFFFF"/>
        </w:rPr>
        <w:t>, le premier monospace électrifié du secteur. Avec cette annonce, les deux entreprises ont pour objectif de renforcer leur partenariat tout en continuant à exploiter leurs forces respectives.</w:t>
      </w:r>
    </w:p>
    <w:p w14:paraId="120EE880" w14:textId="77777777" w:rsidR="0007479D" w:rsidRPr="00897EB8" w:rsidRDefault="0007479D" w:rsidP="00830308">
      <w:pPr>
        <w:spacing w:after="0" w:line="240" w:lineRule="auto"/>
        <w:rPr>
          <w:rFonts w:ascii="Arial" w:hAnsi="Arial" w:cs="Arial"/>
          <w:sz w:val="22"/>
          <w:shd w:val="clear" w:color="auto" w:fill="FFFFFF"/>
        </w:rPr>
      </w:pPr>
    </w:p>
    <w:p w14:paraId="4BAD464F" w14:textId="63DA473F" w:rsidR="0007479D" w:rsidRPr="00897EB8" w:rsidRDefault="0007479D" w:rsidP="00830308">
      <w:pPr>
        <w:spacing w:after="0" w:line="240" w:lineRule="auto"/>
        <w:rPr>
          <w:rFonts w:ascii="Arial" w:eastAsia="Times New Roman" w:hAnsi="Arial" w:cs="Arial"/>
          <w:sz w:val="22"/>
          <w:shd w:val="clear" w:color="auto" w:fill="FFFFFF"/>
        </w:rPr>
      </w:pPr>
      <w:r>
        <w:rPr>
          <w:rFonts w:ascii="Arial" w:hAnsi="Arial"/>
          <w:sz w:val="22"/>
          <w:shd w:val="clear" w:color="auto" w:fill="FFFFFF"/>
        </w:rPr>
        <w:t xml:space="preserve">Stellantis </w:t>
      </w:r>
      <w:r w:rsidRPr="00AA5C60">
        <w:rPr>
          <w:rFonts w:ascii="Arial" w:hAnsi="Arial"/>
          <w:sz w:val="22"/>
          <w:shd w:val="clear" w:color="auto" w:fill="FFFFFF"/>
        </w:rPr>
        <w:t>prévoit d’investir</w:t>
      </w:r>
      <w:r>
        <w:rPr>
          <w:rFonts w:ascii="Arial" w:hAnsi="Arial"/>
          <w:sz w:val="22"/>
          <w:shd w:val="clear" w:color="auto" w:fill="FFFFFF"/>
        </w:rPr>
        <w:t xml:space="preserve"> plus de 30 milliards d’euros d’ici à 2025 dans l’électrification et le développement de </w:t>
      </w:r>
      <w:r w:rsidR="004C28D3">
        <w:rPr>
          <w:rFonts w:ascii="Arial" w:hAnsi="Arial"/>
          <w:sz w:val="22"/>
          <w:shd w:val="clear" w:color="auto" w:fill="FFFFFF"/>
        </w:rPr>
        <w:t>software</w:t>
      </w:r>
      <w:r>
        <w:rPr>
          <w:rFonts w:ascii="Arial" w:hAnsi="Arial"/>
          <w:sz w:val="22"/>
          <w:shd w:val="clear" w:color="auto" w:fill="FFFFFF"/>
        </w:rPr>
        <w:t xml:space="preserve">s, sans perdre de vue son objectif de continuer à être 30 % plus efficace que </w:t>
      </w:r>
      <w:r w:rsidR="004C28D3">
        <w:rPr>
          <w:rFonts w:ascii="Arial" w:hAnsi="Arial"/>
          <w:sz w:val="22"/>
          <w:shd w:val="clear" w:color="auto" w:fill="FFFFFF"/>
        </w:rPr>
        <w:t>l’ensemble du secteur</w:t>
      </w:r>
      <w:r>
        <w:rPr>
          <w:rFonts w:ascii="Arial" w:hAnsi="Arial"/>
          <w:sz w:val="22"/>
          <w:shd w:val="clear" w:color="auto" w:fill="FFFFFF"/>
        </w:rPr>
        <w:t xml:space="preserve"> en ce qui concerne le rapport des dépenses en </w:t>
      </w:r>
      <w:proofErr w:type="spellStart"/>
      <w:r w:rsidR="004C28D3">
        <w:rPr>
          <w:rFonts w:ascii="Arial" w:hAnsi="Arial"/>
          <w:sz w:val="22"/>
          <w:shd w:val="clear" w:color="auto" w:fill="FFFFFF"/>
        </w:rPr>
        <w:t>Capex</w:t>
      </w:r>
      <w:proofErr w:type="spellEnd"/>
      <w:r w:rsidR="004C28D3">
        <w:rPr>
          <w:rFonts w:ascii="Arial" w:hAnsi="Arial"/>
          <w:sz w:val="22"/>
          <w:shd w:val="clear" w:color="auto" w:fill="FFFFFF"/>
        </w:rPr>
        <w:t xml:space="preserve"> et en R&amp;D sur le</w:t>
      </w:r>
      <w:r>
        <w:rPr>
          <w:rFonts w:ascii="Arial" w:hAnsi="Arial"/>
          <w:sz w:val="22"/>
          <w:shd w:val="clear" w:color="auto" w:fill="FFFFFF"/>
        </w:rPr>
        <w:t xml:space="preserve"> chiffre d’affaires.</w:t>
      </w:r>
    </w:p>
    <w:p w14:paraId="0FFA19B3" w14:textId="77777777" w:rsidR="0007479D" w:rsidRPr="00897EB8" w:rsidRDefault="0007479D" w:rsidP="00830308">
      <w:pPr>
        <w:spacing w:after="0" w:line="240" w:lineRule="auto"/>
        <w:rPr>
          <w:rFonts w:ascii="Arial" w:eastAsia="Times New Roman" w:hAnsi="Arial" w:cs="Arial"/>
          <w:sz w:val="22"/>
          <w:shd w:val="clear" w:color="auto" w:fill="FFFFFF"/>
        </w:rPr>
      </w:pPr>
    </w:p>
    <w:p w14:paraId="7E60C3AA" w14:textId="47EC35B8" w:rsidR="00256312" w:rsidRDefault="00894703" w:rsidP="00830308">
      <w:pPr>
        <w:spacing w:after="0" w:line="240" w:lineRule="auto"/>
        <w:rPr>
          <w:rFonts w:ascii="Times New Roman" w:eastAsia="Times New Roman" w:hAnsi="Times New Roman" w:cs="Times New Roman"/>
          <w:sz w:val="22"/>
        </w:rPr>
      </w:pPr>
      <w:r>
        <w:rPr>
          <w:rFonts w:ascii="Arial" w:hAnsi="Arial"/>
          <w:sz w:val="22"/>
        </w:rPr>
        <w:t xml:space="preserve">L’emplacement de cette nouvelle usine est actuellement à l’étude et plus de détails seront </w:t>
      </w:r>
      <w:r>
        <w:rPr>
          <w:rFonts w:ascii="Arial" w:hAnsi="Arial"/>
          <w:sz w:val="22"/>
        </w:rPr>
        <w:lastRenderedPageBreak/>
        <w:t xml:space="preserve">communiqués ultérieurement. Les travaux de construction devraient débuter au deuxième trimestre 2022. </w:t>
      </w:r>
    </w:p>
    <w:p w14:paraId="75B81FB2" w14:textId="77777777" w:rsidR="009B45A3" w:rsidRPr="009B45A3" w:rsidRDefault="009B45A3" w:rsidP="00830308">
      <w:pPr>
        <w:spacing w:after="0" w:line="240" w:lineRule="auto"/>
        <w:rPr>
          <w:rFonts w:ascii="Times New Roman" w:eastAsia="Times New Roman" w:hAnsi="Times New Roman" w:cs="Times New Roman"/>
          <w:sz w:val="22"/>
        </w:rPr>
      </w:pPr>
    </w:p>
    <w:p w14:paraId="613F5C59" w14:textId="562F6396" w:rsidR="005C18FB" w:rsidRDefault="005C18FB" w:rsidP="00830308">
      <w:pPr>
        <w:spacing w:after="0" w:line="240" w:lineRule="auto"/>
        <w:rPr>
          <w:rFonts w:ascii="Arial" w:eastAsia="Times New Roman" w:hAnsi="Arial" w:cs="Arial"/>
          <w:sz w:val="22"/>
          <w:shd w:val="clear" w:color="auto" w:fill="FFFFFF"/>
        </w:rPr>
      </w:pPr>
      <w:r>
        <w:rPr>
          <w:rFonts w:ascii="Arial" w:hAnsi="Arial"/>
          <w:sz w:val="22"/>
          <w:shd w:val="clear" w:color="auto" w:fill="FFFFFF"/>
        </w:rPr>
        <w:t xml:space="preserve">La transaction sera finalisée après la signature des documents définitifs et sera soumise aux conditions de clôture usuelles ainsi qu’aux approbations réglementaires. </w:t>
      </w:r>
    </w:p>
    <w:p w14:paraId="730C640E" w14:textId="3D6762E0" w:rsidR="0007479D" w:rsidRDefault="0007479D" w:rsidP="005C18FB">
      <w:pPr>
        <w:spacing w:after="0" w:line="240" w:lineRule="auto"/>
        <w:rPr>
          <w:rFonts w:ascii="Arial" w:eastAsia="Times New Roman" w:hAnsi="Arial" w:cs="Arial"/>
          <w:sz w:val="22"/>
          <w:shd w:val="clear" w:color="auto" w:fill="FFFFFF"/>
        </w:rPr>
      </w:pPr>
    </w:p>
    <w:p w14:paraId="4248F388" w14:textId="6D242684" w:rsidR="0007479D" w:rsidRDefault="0007479D" w:rsidP="005C18FB">
      <w:pPr>
        <w:spacing w:after="0" w:line="240" w:lineRule="auto"/>
        <w:rPr>
          <w:rFonts w:ascii="Arial" w:eastAsia="Times New Roman" w:hAnsi="Arial" w:cs="Arial"/>
          <w:sz w:val="22"/>
          <w:shd w:val="clear" w:color="auto" w:fill="FFFFFF"/>
        </w:rPr>
      </w:pPr>
    </w:p>
    <w:p w14:paraId="1EE67F01" w14:textId="77777777" w:rsidR="0007479D" w:rsidRDefault="0007479D" w:rsidP="005C18FB">
      <w:pPr>
        <w:spacing w:after="0" w:line="240" w:lineRule="auto"/>
        <w:rPr>
          <w:rFonts w:ascii="Arial" w:eastAsia="Times New Roman" w:hAnsi="Arial" w:cs="Arial"/>
          <w:sz w:val="22"/>
          <w:shd w:val="clear" w:color="auto" w:fill="FFFFFF"/>
        </w:rPr>
      </w:pPr>
    </w:p>
    <w:p w14:paraId="56C6AB75" w14:textId="77777777" w:rsidR="00A03072" w:rsidRPr="005C18FB" w:rsidRDefault="00A03072" w:rsidP="005C18FB">
      <w:pPr>
        <w:spacing w:after="0" w:line="240" w:lineRule="auto"/>
        <w:rPr>
          <w:rFonts w:ascii="Times New Roman" w:eastAsia="Times New Roman" w:hAnsi="Times New Roman" w:cs="Times New Roman"/>
          <w:sz w:val="22"/>
        </w:rPr>
      </w:pPr>
    </w:p>
    <w:p w14:paraId="5A02091D" w14:textId="77777777" w:rsidR="00AB2E64" w:rsidRPr="005277C6" w:rsidRDefault="00AB2E64" w:rsidP="00AB2E64">
      <w:pPr>
        <w:tabs>
          <w:tab w:val="left" w:pos="4140"/>
        </w:tabs>
        <w:rPr>
          <w:sz w:val="22"/>
        </w:rPr>
      </w:pPr>
      <w:r>
        <w:rPr>
          <w:rFonts w:ascii="Arial" w:hAnsi="Arial"/>
          <w:b/>
          <w:sz w:val="22"/>
        </w:rPr>
        <w:t>À propos de Stellantis</w:t>
      </w:r>
    </w:p>
    <w:p w14:paraId="11502AA8" w14:textId="3163DDDB" w:rsidR="008B1463" w:rsidRPr="008E0F5B" w:rsidRDefault="00205671" w:rsidP="00830308">
      <w:pPr>
        <w:tabs>
          <w:tab w:val="left" w:pos="4140"/>
        </w:tabs>
        <w:spacing w:after="0" w:line="240" w:lineRule="auto"/>
        <w:rPr>
          <w:rFonts w:ascii="Arial" w:hAnsi="Arial" w:cs="Arial"/>
          <w:b/>
        </w:rPr>
      </w:pPr>
      <w:r w:rsidRPr="008E0F5B">
        <w:rPr>
          <w:rFonts w:ascii="Arial" w:hAnsi="Arial"/>
        </w:rPr>
        <w:t>Figurant parmi les principaux constructeurs automobiles et fournisseurs de services de mobilité internationaux, Stellantis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l’étendue de son expérience et la diversité des talents internationaux qui le composent. Stellantis s’appuie sur l’ampleur de son portefeuille de marques emblématiques, qui a été fondé par des visionnaires qui ont insufflé leur passion dans leurs entreprises, associée à un esprit de compétition qui parle autant à ses employés qu’à ses clients. L’objectif de Stellantis : devenir le numéro un, en termes de qualité et non de taille, tout en créant encore plus de valeur pour l’ensemble de ses partenaires et des communautés au sein desquelles il opère.</w:t>
      </w:r>
    </w:p>
    <w:p w14:paraId="4B81280D" w14:textId="77777777" w:rsidR="008B1463" w:rsidRPr="008B1463" w:rsidRDefault="008B1463" w:rsidP="00C21D55">
      <w:pPr>
        <w:tabs>
          <w:tab w:val="left" w:pos="4140"/>
        </w:tabs>
        <w:rPr>
          <w:rFonts w:ascii="Arial" w:hAnsi="Arial" w:cs="Arial"/>
          <w:b/>
          <w:sz w:val="22"/>
        </w:rPr>
      </w:pPr>
    </w:p>
    <w:p w14:paraId="34EA5D54" w14:textId="77777777" w:rsidR="00C21D55" w:rsidRPr="005277C6" w:rsidRDefault="00710B32" w:rsidP="00C21D55">
      <w:pPr>
        <w:tabs>
          <w:tab w:val="left" w:pos="4140"/>
        </w:tabs>
        <w:rPr>
          <w:sz w:val="22"/>
        </w:rPr>
      </w:pPr>
      <w:r>
        <w:rPr>
          <w:rFonts w:ascii="Arial" w:hAnsi="Arial"/>
          <w:b/>
          <w:sz w:val="22"/>
        </w:rPr>
        <w:t xml:space="preserve">À propos de LG </w:t>
      </w:r>
      <w:proofErr w:type="spellStart"/>
      <w:r>
        <w:rPr>
          <w:rFonts w:ascii="Arial" w:hAnsi="Arial"/>
          <w:b/>
          <w:sz w:val="22"/>
        </w:rPr>
        <w:t>Energy</w:t>
      </w:r>
      <w:proofErr w:type="spellEnd"/>
      <w:r>
        <w:rPr>
          <w:rFonts w:ascii="Arial" w:hAnsi="Arial"/>
          <w:b/>
          <w:sz w:val="22"/>
        </w:rPr>
        <w:t xml:space="preserve"> Solution</w:t>
      </w:r>
    </w:p>
    <w:p w14:paraId="7D2BB66E" w14:textId="0BB53A94" w:rsidR="00F52E65" w:rsidRPr="008E0F5B" w:rsidRDefault="00C21D55" w:rsidP="00830308">
      <w:pPr>
        <w:adjustRightInd w:val="0"/>
        <w:spacing w:line="240" w:lineRule="auto"/>
        <w:rPr>
          <w:sz w:val="18"/>
        </w:rPr>
        <w:sectPr w:rsidR="00F52E65" w:rsidRPr="008E0F5B">
          <w:headerReference w:type="even" r:id="rId11"/>
          <w:headerReference w:type="default" r:id="rId12"/>
          <w:footerReference w:type="even" r:id="rId13"/>
          <w:footerReference w:type="default" r:id="rId14"/>
          <w:headerReference w:type="first" r:id="rId15"/>
          <w:footerReference w:type="first" r:id="rId16"/>
          <w:pgSz w:w="11906" w:h="16838"/>
          <w:pgMar w:top="1701" w:right="1440" w:bottom="1440" w:left="1440" w:header="851" w:footer="992" w:gutter="0"/>
          <w:cols w:space="425"/>
          <w:docGrid w:linePitch="360"/>
        </w:sectPr>
      </w:pPr>
      <w:r w:rsidRPr="008E0F5B">
        <w:rPr>
          <w:rFonts w:ascii="Arial" w:hAnsi="Arial"/>
        </w:rPr>
        <w:t xml:space="preserve">LG </w:t>
      </w:r>
      <w:proofErr w:type="spellStart"/>
      <w:r w:rsidRPr="008E0F5B">
        <w:rPr>
          <w:rFonts w:ascii="Arial" w:hAnsi="Arial"/>
        </w:rPr>
        <w:t>Energy</w:t>
      </w:r>
      <w:proofErr w:type="spellEnd"/>
      <w:r w:rsidRPr="008E0F5B">
        <w:rPr>
          <w:rFonts w:ascii="Arial" w:hAnsi="Arial"/>
        </w:rPr>
        <w:t xml:space="preserve"> Solution est un leader mondial dans le domaine des batteries lithium-ion de pointe pour les véhicules électriques (EV), les applications de mobilité et d'informatique, et les systèmes de stockage d'énergie (ESS). Forte de 30 ans d'expérience dans la technologie avancée des batteries, elle poursuit sa croissance rapide vers la réalisation d'une vie durable. Avec son solide réseau mondial qui s'étend aux États-Unis, en Europe, en Asie et en Australie, LG </w:t>
      </w:r>
      <w:proofErr w:type="spellStart"/>
      <w:r w:rsidRPr="008E0F5B">
        <w:rPr>
          <w:rFonts w:ascii="Arial" w:hAnsi="Arial"/>
        </w:rPr>
        <w:t>Energy</w:t>
      </w:r>
      <w:proofErr w:type="spellEnd"/>
      <w:r w:rsidRPr="008E0F5B">
        <w:rPr>
          <w:rFonts w:ascii="Arial" w:hAnsi="Arial"/>
        </w:rPr>
        <w:t xml:space="preserve"> Solution est plus engagée que jamais dans le développement de technologies innovantes qui rapprocheront l'énergie du futur. Conformément à sa vision ESG « Nous </w:t>
      </w:r>
      <w:proofErr w:type="spellStart"/>
      <w:r w:rsidRPr="008E0F5B">
        <w:rPr>
          <w:rFonts w:ascii="Arial" w:hAnsi="Arial"/>
        </w:rPr>
        <w:t>CHARGErons</w:t>
      </w:r>
      <w:proofErr w:type="spellEnd"/>
      <w:r w:rsidRPr="008E0F5B">
        <w:rPr>
          <w:rFonts w:ascii="Arial" w:hAnsi="Arial"/>
        </w:rPr>
        <w:t xml:space="preserve"> vers un avenir meilleur », LG </w:t>
      </w:r>
      <w:proofErr w:type="spellStart"/>
      <w:r w:rsidRPr="008E0F5B">
        <w:rPr>
          <w:rFonts w:ascii="Arial" w:hAnsi="Arial"/>
        </w:rPr>
        <w:t>Energy</w:t>
      </w:r>
      <w:proofErr w:type="spellEnd"/>
      <w:r w:rsidRPr="008E0F5B">
        <w:rPr>
          <w:rFonts w:ascii="Arial" w:hAnsi="Arial"/>
        </w:rPr>
        <w:t xml:space="preserve"> Solution ne ménage aucun effort pour prioriser l’environnement, assumer ses responsabilités sociales et bâtir un avenir durable. Pour plus d’informations, merci de consulter le site </w:t>
      </w:r>
      <w:hyperlink r:id="rId17" w:history="1">
        <w:r w:rsidRPr="008E0F5B">
          <w:rPr>
            <w:rStyle w:val="Hyperlink"/>
            <w:rFonts w:ascii="Arial" w:hAnsi="Arial"/>
          </w:rPr>
          <w:t>https://www.lgensol.com</w:t>
        </w:r>
      </w:hyperlink>
      <w:r w:rsidRPr="008E0F5B">
        <w:rPr>
          <w:rFonts w:ascii="Arial" w:hAnsi="Arial"/>
        </w:rPr>
        <w:t>.</w:t>
      </w:r>
    </w:p>
    <w:p w14:paraId="2AB61C75" w14:textId="77777777" w:rsidR="00F52E65" w:rsidRDefault="00F52E65" w:rsidP="00C21D55">
      <w:pPr>
        <w:spacing w:after="0" w:line="240" w:lineRule="auto"/>
        <w:rPr>
          <w:rFonts w:ascii="Arial" w:eastAsia="Arial" w:hAnsi="Arial" w:cs="Arial"/>
          <w:b/>
          <w:sz w:val="22"/>
        </w:rPr>
        <w:sectPr w:rsidR="00F52E65" w:rsidSect="00F52E65">
          <w:type w:val="continuous"/>
          <w:pgSz w:w="11906" w:h="16838"/>
          <w:pgMar w:top="1701" w:right="1440" w:bottom="1440" w:left="1440" w:header="851" w:footer="992" w:gutter="0"/>
          <w:cols w:space="425"/>
          <w:docGrid w:linePitch="360"/>
        </w:sectPr>
      </w:pPr>
    </w:p>
    <w:p w14:paraId="03A85DD3" w14:textId="77777777" w:rsidR="0007479D" w:rsidRDefault="0007479D" w:rsidP="00C21D55">
      <w:pPr>
        <w:spacing w:after="0" w:line="240" w:lineRule="auto"/>
        <w:rPr>
          <w:rFonts w:ascii="Arial" w:eastAsia="Arial" w:hAnsi="Arial" w:cs="Arial"/>
          <w:b/>
          <w:sz w:val="22"/>
        </w:rPr>
      </w:pPr>
    </w:p>
    <w:p w14:paraId="276E7518" w14:textId="429504B3" w:rsidR="00C21D55" w:rsidRPr="005277C6" w:rsidRDefault="00C21D55" w:rsidP="00C21D55">
      <w:pPr>
        <w:spacing w:after="0" w:line="240" w:lineRule="auto"/>
        <w:rPr>
          <w:rFonts w:ascii="Arial" w:eastAsia="Arial" w:hAnsi="Arial" w:cs="Arial"/>
          <w:b/>
          <w:sz w:val="22"/>
        </w:rPr>
      </w:pPr>
      <w:r>
        <w:rPr>
          <w:rFonts w:ascii="Arial" w:hAnsi="Arial"/>
          <w:b/>
          <w:sz w:val="22"/>
        </w:rPr>
        <w:t xml:space="preserve">Ashlee </w:t>
      </w:r>
      <w:proofErr w:type="spellStart"/>
      <w:r>
        <w:rPr>
          <w:rFonts w:ascii="Arial" w:hAnsi="Arial"/>
          <w:b/>
          <w:sz w:val="22"/>
        </w:rPr>
        <w:t>Semin</w:t>
      </w:r>
      <w:proofErr w:type="spellEnd"/>
      <w:r>
        <w:rPr>
          <w:rFonts w:ascii="Arial" w:hAnsi="Arial"/>
          <w:b/>
          <w:sz w:val="22"/>
        </w:rPr>
        <w:t xml:space="preserve"> Shin</w:t>
      </w:r>
    </w:p>
    <w:p w14:paraId="538EE339" w14:textId="77777777" w:rsidR="00C21D55" w:rsidRPr="005277C6" w:rsidRDefault="00C21D55" w:rsidP="00C21D55">
      <w:pPr>
        <w:spacing w:after="0" w:line="240" w:lineRule="auto"/>
        <w:rPr>
          <w:rFonts w:ascii="Arial" w:eastAsia="Arial" w:hAnsi="Arial" w:cs="Arial"/>
          <w:sz w:val="22"/>
        </w:rPr>
      </w:pPr>
      <w:r>
        <w:rPr>
          <w:rFonts w:ascii="Arial" w:hAnsi="Arial"/>
          <w:sz w:val="22"/>
        </w:rPr>
        <w:t xml:space="preserve">Équipe Communication / LG </w:t>
      </w:r>
      <w:proofErr w:type="spellStart"/>
      <w:r>
        <w:rPr>
          <w:rFonts w:ascii="Arial" w:hAnsi="Arial"/>
          <w:sz w:val="22"/>
        </w:rPr>
        <w:t>Energy</w:t>
      </w:r>
      <w:proofErr w:type="spellEnd"/>
      <w:r>
        <w:rPr>
          <w:rFonts w:ascii="Arial" w:hAnsi="Arial"/>
          <w:sz w:val="22"/>
        </w:rPr>
        <w:t xml:space="preserve"> Solution </w:t>
      </w:r>
    </w:p>
    <w:p w14:paraId="2BAFE2D1" w14:textId="77777777" w:rsidR="00C21D55" w:rsidRPr="005277C6" w:rsidRDefault="0093694A" w:rsidP="00C21D55">
      <w:pPr>
        <w:spacing w:after="0" w:line="240" w:lineRule="auto"/>
        <w:rPr>
          <w:rFonts w:ascii="Arial" w:hAnsi="Arial" w:cs="Arial"/>
          <w:sz w:val="22"/>
        </w:rPr>
      </w:pPr>
      <w:hyperlink r:id="rId18" w:history="1">
        <w:r w:rsidR="00343AB6">
          <w:rPr>
            <w:rFonts w:ascii="Arial" w:hAnsi="Arial"/>
            <w:color w:val="0000FF"/>
            <w:sz w:val="22"/>
            <w:u w:val="single"/>
          </w:rPr>
          <w:t>ashin0@lgensol.com</w:t>
        </w:r>
      </w:hyperlink>
    </w:p>
    <w:p w14:paraId="159D2EFD" w14:textId="77777777" w:rsidR="005C18FB" w:rsidRDefault="00C21D55" w:rsidP="00C21D55">
      <w:pPr>
        <w:spacing w:after="0" w:line="240" w:lineRule="auto"/>
        <w:rPr>
          <w:rFonts w:ascii="Arial" w:eastAsia="Arial" w:hAnsi="Arial" w:cs="Arial"/>
          <w:sz w:val="22"/>
        </w:rPr>
      </w:pPr>
      <w:r>
        <w:rPr>
          <w:rFonts w:ascii="Arial" w:hAnsi="Arial"/>
          <w:sz w:val="22"/>
        </w:rPr>
        <w:t>+ 82 2 3773 4381</w:t>
      </w:r>
    </w:p>
    <w:p w14:paraId="4A206931" w14:textId="77777777" w:rsidR="00CE6AA6" w:rsidRDefault="00CE6AA6" w:rsidP="00C21D55">
      <w:pPr>
        <w:spacing w:after="0" w:line="240" w:lineRule="auto"/>
        <w:rPr>
          <w:rFonts w:ascii="Arial" w:eastAsia="Arial" w:hAnsi="Arial" w:cs="Arial"/>
          <w:sz w:val="22"/>
        </w:rPr>
      </w:pPr>
    </w:p>
    <w:p w14:paraId="58704900" w14:textId="77777777" w:rsidR="00205671" w:rsidRDefault="00205671" w:rsidP="00205671">
      <w:pPr>
        <w:tabs>
          <w:tab w:val="left" w:pos="2592"/>
        </w:tabs>
        <w:spacing w:after="0" w:line="240" w:lineRule="auto"/>
        <w:rPr>
          <w:rFonts w:ascii="Arial" w:eastAsia="Arial" w:hAnsi="Arial" w:cs="Arial"/>
          <w:b/>
          <w:sz w:val="22"/>
        </w:rPr>
      </w:pPr>
      <w:r>
        <w:rPr>
          <w:rFonts w:ascii="Arial" w:hAnsi="Arial"/>
          <w:b/>
          <w:sz w:val="22"/>
        </w:rPr>
        <w:t>Pierre-Olivier Salmon</w:t>
      </w:r>
      <w:r>
        <w:rPr>
          <w:rFonts w:ascii="Arial" w:hAnsi="Arial"/>
          <w:b/>
          <w:sz w:val="22"/>
        </w:rPr>
        <w:tab/>
      </w:r>
    </w:p>
    <w:p w14:paraId="66AD7AC9" w14:textId="77777777" w:rsidR="00205671" w:rsidRPr="00830308" w:rsidRDefault="00205671" w:rsidP="00205671">
      <w:pPr>
        <w:tabs>
          <w:tab w:val="left" w:pos="2592"/>
        </w:tabs>
        <w:spacing w:after="0" w:line="240" w:lineRule="auto"/>
        <w:rPr>
          <w:rFonts w:ascii="Arial" w:eastAsia="Arial" w:hAnsi="Arial" w:cs="Arial"/>
          <w:sz w:val="22"/>
        </w:rPr>
      </w:pPr>
      <w:r>
        <w:rPr>
          <w:rFonts w:ascii="Arial" w:hAnsi="Arial"/>
          <w:sz w:val="22"/>
        </w:rPr>
        <w:t>Communications</w:t>
      </w:r>
    </w:p>
    <w:p w14:paraId="284C5F8A" w14:textId="77777777" w:rsidR="00205671" w:rsidRPr="00B17EC8" w:rsidRDefault="0093694A" w:rsidP="00205671">
      <w:pPr>
        <w:tabs>
          <w:tab w:val="left" w:pos="2592"/>
        </w:tabs>
        <w:spacing w:after="0" w:line="240" w:lineRule="auto"/>
        <w:rPr>
          <w:rFonts w:ascii="Arial" w:eastAsia="Arial" w:hAnsi="Arial" w:cs="Arial"/>
          <w:sz w:val="22"/>
        </w:rPr>
      </w:pPr>
      <w:hyperlink r:id="rId19" w:history="1">
        <w:r w:rsidR="00343AB6">
          <w:rPr>
            <w:rStyle w:val="Hyperlink"/>
            <w:rFonts w:ascii="Arial" w:hAnsi="Arial"/>
            <w:sz w:val="22"/>
          </w:rPr>
          <w:t>pierreolivier.salmon@stellantis.com</w:t>
        </w:r>
      </w:hyperlink>
    </w:p>
    <w:p w14:paraId="14FA07E7" w14:textId="77777777" w:rsidR="00CE6AA6" w:rsidRDefault="00205671" w:rsidP="00205671">
      <w:pPr>
        <w:spacing w:after="0" w:line="240" w:lineRule="auto"/>
        <w:rPr>
          <w:rFonts w:ascii="Arial" w:eastAsia="Arial" w:hAnsi="Arial" w:cs="Arial"/>
          <w:sz w:val="22"/>
        </w:rPr>
      </w:pPr>
      <w:r>
        <w:rPr>
          <w:rFonts w:ascii="Arial" w:hAnsi="Arial"/>
          <w:sz w:val="22"/>
        </w:rPr>
        <w:t>+33 676 86 45 48</w:t>
      </w:r>
    </w:p>
    <w:p w14:paraId="570DE96E" w14:textId="3F64B8E6" w:rsidR="00CE6AA6" w:rsidRDefault="00CE6AA6" w:rsidP="00C21D55">
      <w:pPr>
        <w:spacing w:after="0" w:line="240" w:lineRule="auto"/>
        <w:rPr>
          <w:rFonts w:ascii="Arial" w:hAnsi="Arial" w:cs="Arial"/>
          <w:sz w:val="22"/>
        </w:rPr>
      </w:pPr>
    </w:p>
    <w:p w14:paraId="16161697" w14:textId="183ACE2C" w:rsidR="00EE7CB8" w:rsidRDefault="00EE7CB8" w:rsidP="00C21D55">
      <w:pPr>
        <w:spacing w:after="0" w:line="240" w:lineRule="auto"/>
        <w:rPr>
          <w:rFonts w:ascii="Arial" w:hAnsi="Arial" w:cs="Arial"/>
          <w:sz w:val="22"/>
        </w:rPr>
      </w:pPr>
    </w:p>
    <w:p w14:paraId="2304293F" w14:textId="71AF141D" w:rsidR="00515385" w:rsidRDefault="00515385" w:rsidP="00C21D55">
      <w:pPr>
        <w:spacing w:after="0" w:line="240" w:lineRule="auto"/>
        <w:rPr>
          <w:rFonts w:ascii="Arial" w:hAnsi="Arial" w:cs="Arial"/>
          <w:sz w:val="22"/>
        </w:rPr>
      </w:pPr>
    </w:p>
    <w:p w14:paraId="64A383E6" w14:textId="7007EB3D" w:rsidR="00515385" w:rsidRDefault="00515385" w:rsidP="00C21D55">
      <w:pPr>
        <w:spacing w:after="0" w:line="240" w:lineRule="auto"/>
        <w:rPr>
          <w:rFonts w:ascii="Arial" w:hAnsi="Arial" w:cs="Arial"/>
          <w:sz w:val="22"/>
        </w:rPr>
      </w:pPr>
    </w:p>
    <w:p w14:paraId="7AD87772" w14:textId="5D6B4D05" w:rsidR="00515385" w:rsidRDefault="00515385" w:rsidP="00C21D55">
      <w:pPr>
        <w:spacing w:after="0" w:line="240" w:lineRule="auto"/>
        <w:rPr>
          <w:rFonts w:ascii="Arial" w:hAnsi="Arial" w:cs="Arial"/>
          <w:sz w:val="22"/>
        </w:rPr>
      </w:pPr>
    </w:p>
    <w:p w14:paraId="7876955A" w14:textId="77777777" w:rsidR="00515385" w:rsidRDefault="00515385" w:rsidP="00C21D55">
      <w:pPr>
        <w:spacing w:after="0" w:line="240" w:lineRule="auto"/>
        <w:rPr>
          <w:rFonts w:ascii="Arial" w:hAnsi="Arial" w:cs="Arial"/>
          <w:sz w:val="22"/>
        </w:rPr>
      </w:pPr>
    </w:p>
    <w:p w14:paraId="461BCB9E" w14:textId="5C9AF0D2" w:rsidR="00EE7CB8" w:rsidRDefault="00EE7CB8" w:rsidP="00C21D55">
      <w:pPr>
        <w:spacing w:after="0" w:line="240" w:lineRule="auto"/>
        <w:rPr>
          <w:rFonts w:ascii="Arial" w:hAnsi="Arial" w:cs="Arial"/>
          <w:sz w:val="22"/>
        </w:rPr>
      </w:pPr>
    </w:p>
    <w:p w14:paraId="4BC109DC" w14:textId="405ED9B8" w:rsidR="00CE6AA6" w:rsidRPr="00830308" w:rsidRDefault="00EE7CB8" w:rsidP="00C21D55">
      <w:pPr>
        <w:spacing w:after="0" w:line="240" w:lineRule="auto"/>
        <w:rPr>
          <w:i/>
        </w:rPr>
      </w:pPr>
      <w:r>
        <w:rPr>
          <w:rStyle w:val="im"/>
          <w:rFonts w:ascii="Arial" w:hAnsi="Arial"/>
          <w:b/>
          <w:bCs/>
          <w:shd w:val="clear" w:color="auto" w:fill="FFFFFF"/>
        </w:rPr>
        <w:lastRenderedPageBreak/>
        <w:t>Déclarations prospectives</w:t>
      </w:r>
      <w:r>
        <w:rPr>
          <w:rFonts w:ascii="Arial" w:hAnsi="Arial"/>
          <w:b/>
          <w:bCs/>
          <w:shd w:val="clear" w:color="auto" w:fill="FFFFFF"/>
        </w:rPr>
        <w:br/>
      </w:r>
      <w:r>
        <w:rPr>
          <w:rStyle w:val="im"/>
          <w:rFonts w:ascii="Arial" w:hAnsi="Arial"/>
          <w:i/>
          <w:sz w:val="18"/>
          <w:shd w:val="clear" w:color="auto" w:fill="FFFFFF"/>
        </w:rPr>
        <w:t>Cette communication contient des déclarations prospectives. En particulier, les déclarations concernant les événements futurs et les résultats opérationnels anticipés, les stratégies commerciales, les bénéfices escomptés suite à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Ces déclarations prospectives ne constituent pas des garanties de performances futures. Elles reposent au contraire sur l’état actuel des connaissances de Stellantis ainsi que sur ses projections et attentes futures vis-à-vis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r>
        <w:rPr>
          <w:rFonts w:ascii="Arial" w:hAnsi="Arial"/>
          <w:i/>
          <w:sz w:val="18"/>
          <w:shd w:val="clear" w:color="auto" w:fill="FFFFFF"/>
        </w:rPr>
        <w:br/>
      </w:r>
      <w:r>
        <w:rPr>
          <w:rFonts w:ascii="Arial" w:hAnsi="Arial"/>
          <w:i/>
          <w:sz w:val="18"/>
          <w:shd w:val="clear" w:color="auto" w:fill="FFFFFF"/>
        </w:rPr>
        <w:br/>
      </w:r>
      <w:r>
        <w:rPr>
          <w:rStyle w:val="im"/>
          <w:rFonts w:ascii="Arial" w:hAnsi="Arial"/>
          <w:i/>
          <w:sz w:val="18"/>
          <w:shd w:val="clear" w:color="auto" w:fill="FFFFFF"/>
        </w:rPr>
        <w:t>Plusieurs facteurs pourraient entraîner un gros écart entre les résultats réels et ceux anticipés dans la présente, et notamment : les incertitudes relatives à la finalisation de la transaction proposée évoquée dans le présent document ainsi que les délais s’y rapportant ; le respect des conditions préalables à la finalisation de la transaction proposée, y compris la capacité d’obtenir dans les délais impartis les approbations réglementaires vis-à-vis des conditions attendues ; le risque que les activités des parties soient impactées défavorablement pendant la durée d’exécution de la transaction proposée ; la capacité de Stellantis à intégrer avec succès les opérations de la Société ; la perturbation des activités suite à la transaction ; l’effet de l’annonce de la transaction sur la capacité de la Société à retenir et embaucher des collaborateurs essentiels et à maintenir les relations avec ses clients, fournisseurs et autres prestataires en affaires avec la Société ; l’impact de la pandémie de COVID-19, la capacité de Stellantis à réussir le lancement de nouveaux produits et à maintenir le volume de véhicules expédiés ; des changements au niveau des marchés financiers internationaux, de l’environnement économique global et de la demande en produits automobiles qui varie en fonction de la conjoncture ; des changements dans les conditions économiques et politiques locales, des changements dans la politique commerciale et l’imposition de tarifs mondiaux ou régionaux ou ciblant spécifiquement le secteur automobile, l’entrée en vigueur de réformes fiscales ou d’autres changements impactant les lois et réglementations fiscales ; la capacité de Stellantis à développer certaines de ses marques à l’échelle mondiale ; sa capacité à offrir des produits attractifs et innovants ; sa capacité à développer, fabriquer et vendre des véhicules équipés de technologies de pointe comme l’électrification avancée, la connectivité ou la conduite autonome ; différents types de réclamations, poursuites, enquêtes gouvernementales et autres événements imprévus, y compris des plaintes concernant la fiabilité du produit et sa garantie, et des plaintes, enquêtes et poursuites liées à l’environnement ; des dépenses opérationnelles importantes en lien avec le respect des règlementations environnementales, sanitaires et de sécurité ; la vive concurrence marquant le secteur automobile, susceptible d’augmenter en raison de la fusion ; l’exposition à des insuffisances dans le financement des régimes de prévoyance définis par Stellantis ; la capacité de fournir ou faciliter l’accès à des financements adéquats pour les concessionnaires et les clients particuliers, et les risques associés à l’implantation et aux opérations des établissements financiers ; la capacité d’obtention d’un financement pour mettre en œuvre les plans de développement de Stellantis et améliorer ses activités, situation financière et résultats opérationnels ; un dysfonctionnement, une perturbation ou une violation de sécurité significative compromettant les systèmes informatiques ou les systèmes de contrôle électronique équipant les véhicules de Stellantis ; la capacité de Stellantis à atteindre les bénéfices escomptés suite aux accords de joint-venture ; les perturbations découlant d’une instabilité politique, sociale et économique ; les risques associés à nos relations avec nos employés, nos concessionnaires et nos fournisseurs ; une augmentation des coûts, une rupture d’approvisionnement ou une pénurie de matières premières, pièces, composants et systèmes utilisés dans les véhicules de Stellantis ; le développement de relations avec la main d’œuvre et les partenaires sociaux, et l’évolution des lois applicables en matière de travail ; la fluctuation des taux de change, la modification des taux d’intérêt, les risques de crédit et autres risques liés au marché ; une instabilité politique ou sociale ; un séisme ou une autre catastrophe naturelle, et d’autres risques et incertitudes.</w:t>
      </w:r>
      <w:r>
        <w:rPr>
          <w:rFonts w:ascii="Arial" w:hAnsi="Arial"/>
          <w:i/>
          <w:sz w:val="18"/>
          <w:shd w:val="clear" w:color="auto" w:fill="FFFFFF"/>
        </w:rPr>
        <w:br/>
      </w:r>
      <w:r>
        <w:rPr>
          <w:rFonts w:ascii="Arial" w:hAnsi="Arial"/>
          <w:i/>
          <w:sz w:val="18"/>
          <w:shd w:val="clear" w:color="auto" w:fill="FFFFFF"/>
        </w:rPr>
        <w:br/>
        <w:t>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les résultats financiers de Stellantis, sont incluses dans les rapports et dossiers de Stellantis déposés auprès de l’U.S. Securities and Exchange Commission et de l'AFM.</w:t>
      </w:r>
    </w:p>
    <w:sectPr w:rsidR="00CE6AA6" w:rsidRPr="00830308" w:rsidSect="00F52E65">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327DE" w14:textId="77777777" w:rsidR="0093694A" w:rsidRDefault="0093694A" w:rsidP="005C18FB">
      <w:pPr>
        <w:spacing w:after="0" w:line="240" w:lineRule="auto"/>
      </w:pPr>
      <w:r>
        <w:separator/>
      </w:r>
    </w:p>
  </w:endnote>
  <w:endnote w:type="continuationSeparator" w:id="0">
    <w:p w14:paraId="5BA43024" w14:textId="77777777" w:rsidR="0093694A" w:rsidRDefault="0093694A" w:rsidP="005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4D10D" w14:textId="77777777" w:rsidR="00817C6A" w:rsidRDefault="008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BC881" w14:textId="77777777" w:rsidR="00817C6A" w:rsidRDefault="00817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8040" w14:textId="77777777" w:rsidR="00817C6A" w:rsidRDefault="00817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A8702" w14:textId="77777777" w:rsidR="0093694A" w:rsidRDefault="0093694A" w:rsidP="005C18FB">
      <w:pPr>
        <w:spacing w:after="0" w:line="240" w:lineRule="auto"/>
      </w:pPr>
      <w:r>
        <w:separator/>
      </w:r>
    </w:p>
  </w:footnote>
  <w:footnote w:type="continuationSeparator" w:id="0">
    <w:p w14:paraId="6BB15A91" w14:textId="77777777" w:rsidR="0093694A" w:rsidRDefault="0093694A" w:rsidP="005C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5AE2" w14:textId="77777777" w:rsidR="00817C6A" w:rsidRDefault="00817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AE75" w14:textId="0586EAA5" w:rsidR="005C18FB" w:rsidRDefault="00AC5747">
    <w:pPr>
      <w:pStyle w:val="Header"/>
    </w:pPr>
    <w:r>
      <w:rPr>
        <w:noProof/>
        <w:lang w:val="en-US" w:eastAsia="en-US"/>
      </w:rPr>
      <w:drawing>
        <wp:inline distT="0" distB="0" distL="0" distR="0" wp14:anchorId="23E463A8" wp14:editId="0BCFE1DA">
          <wp:extent cx="1811663" cy="465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920" cy="477909"/>
                  </a:xfrm>
                  <a:prstGeom prst="rect">
                    <a:avLst/>
                  </a:prstGeom>
                </pic:spPr>
              </pic:pic>
            </a:graphicData>
          </a:graphic>
        </wp:inline>
      </w:drawing>
    </w:r>
    <w:r>
      <w:rPr>
        <w:noProof/>
        <w:lang w:val="en-US" w:eastAsia="en-US"/>
      </w:rPr>
      <w:drawing>
        <wp:inline distT="0" distB="0" distL="0" distR="0" wp14:anchorId="6CEADD60" wp14:editId="093BAEC7">
          <wp:extent cx="1860605" cy="405950"/>
          <wp:effectExtent l="0" t="0" r="635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08525" cy="460042"/>
                  </a:xfrm>
                  <a:prstGeom prst="rect">
                    <a:avLst/>
                  </a:prstGeom>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140B" w14:textId="77777777" w:rsidR="00817C6A" w:rsidRDefault="00817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FB"/>
    <w:rsid w:val="0000501C"/>
    <w:rsid w:val="00030215"/>
    <w:rsid w:val="000462B9"/>
    <w:rsid w:val="000509BD"/>
    <w:rsid w:val="00060B4C"/>
    <w:rsid w:val="0007479D"/>
    <w:rsid w:val="00083FEF"/>
    <w:rsid w:val="00085B8B"/>
    <w:rsid w:val="000903BB"/>
    <w:rsid w:val="00091B76"/>
    <w:rsid w:val="000A2638"/>
    <w:rsid w:val="000A58CB"/>
    <w:rsid w:val="000A771D"/>
    <w:rsid w:val="000C0A30"/>
    <w:rsid w:val="000D0398"/>
    <w:rsid w:val="000F7DB5"/>
    <w:rsid w:val="00137F00"/>
    <w:rsid w:val="00141AD0"/>
    <w:rsid w:val="00167725"/>
    <w:rsid w:val="00167900"/>
    <w:rsid w:val="00194CA4"/>
    <w:rsid w:val="001C0C01"/>
    <w:rsid w:val="001C71FF"/>
    <w:rsid w:val="001E7F73"/>
    <w:rsid w:val="001F2D9D"/>
    <w:rsid w:val="00205671"/>
    <w:rsid w:val="00256312"/>
    <w:rsid w:val="002658B8"/>
    <w:rsid w:val="00280E58"/>
    <w:rsid w:val="002B05E2"/>
    <w:rsid w:val="002B7691"/>
    <w:rsid w:val="002C1C43"/>
    <w:rsid w:val="002E5974"/>
    <w:rsid w:val="00306B6A"/>
    <w:rsid w:val="00320693"/>
    <w:rsid w:val="00321C6B"/>
    <w:rsid w:val="00343AB6"/>
    <w:rsid w:val="00345CE5"/>
    <w:rsid w:val="00346049"/>
    <w:rsid w:val="003628BB"/>
    <w:rsid w:val="00370FBE"/>
    <w:rsid w:val="00377454"/>
    <w:rsid w:val="003939D4"/>
    <w:rsid w:val="003963F6"/>
    <w:rsid w:val="003A453F"/>
    <w:rsid w:val="003C2B71"/>
    <w:rsid w:val="003D7213"/>
    <w:rsid w:val="003E0D73"/>
    <w:rsid w:val="003F03F9"/>
    <w:rsid w:val="0040099D"/>
    <w:rsid w:val="0040686A"/>
    <w:rsid w:val="00415083"/>
    <w:rsid w:val="00422989"/>
    <w:rsid w:val="00430FF5"/>
    <w:rsid w:val="004348F9"/>
    <w:rsid w:val="00457EA7"/>
    <w:rsid w:val="004653CC"/>
    <w:rsid w:val="00483F97"/>
    <w:rsid w:val="00487036"/>
    <w:rsid w:val="00496B07"/>
    <w:rsid w:val="004B25B8"/>
    <w:rsid w:val="004B4DA8"/>
    <w:rsid w:val="004C28D3"/>
    <w:rsid w:val="004C2DFB"/>
    <w:rsid w:val="004D2215"/>
    <w:rsid w:val="004F525E"/>
    <w:rsid w:val="00504954"/>
    <w:rsid w:val="00515385"/>
    <w:rsid w:val="005336A5"/>
    <w:rsid w:val="00556DFE"/>
    <w:rsid w:val="00584DA4"/>
    <w:rsid w:val="00591E94"/>
    <w:rsid w:val="005A46A2"/>
    <w:rsid w:val="005A49A6"/>
    <w:rsid w:val="005B4C52"/>
    <w:rsid w:val="005C18FB"/>
    <w:rsid w:val="005C22E7"/>
    <w:rsid w:val="005C636E"/>
    <w:rsid w:val="005D29FA"/>
    <w:rsid w:val="005E32F9"/>
    <w:rsid w:val="00633B1A"/>
    <w:rsid w:val="006376ED"/>
    <w:rsid w:val="006400E9"/>
    <w:rsid w:val="00664CBA"/>
    <w:rsid w:val="006A1ED6"/>
    <w:rsid w:val="006A5724"/>
    <w:rsid w:val="006C719D"/>
    <w:rsid w:val="006D34B2"/>
    <w:rsid w:val="006D5382"/>
    <w:rsid w:val="006F6C3B"/>
    <w:rsid w:val="00706635"/>
    <w:rsid w:val="00710B32"/>
    <w:rsid w:val="0075149D"/>
    <w:rsid w:val="00757802"/>
    <w:rsid w:val="00762A41"/>
    <w:rsid w:val="007662EE"/>
    <w:rsid w:val="00776C91"/>
    <w:rsid w:val="007B2A6E"/>
    <w:rsid w:val="007D2F7F"/>
    <w:rsid w:val="007D7C03"/>
    <w:rsid w:val="007F6591"/>
    <w:rsid w:val="00817C6A"/>
    <w:rsid w:val="0082685E"/>
    <w:rsid w:val="00830308"/>
    <w:rsid w:val="00894703"/>
    <w:rsid w:val="00897EB8"/>
    <w:rsid w:val="008A10A3"/>
    <w:rsid w:val="008B1463"/>
    <w:rsid w:val="008E0F5B"/>
    <w:rsid w:val="0092262A"/>
    <w:rsid w:val="0093694A"/>
    <w:rsid w:val="009403BA"/>
    <w:rsid w:val="00965494"/>
    <w:rsid w:val="00981826"/>
    <w:rsid w:val="009B45A3"/>
    <w:rsid w:val="009C3C7C"/>
    <w:rsid w:val="009C61CF"/>
    <w:rsid w:val="00A00997"/>
    <w:rsid w:val="00A03072"/>
    <w:rsid w:val="00A16089"/>
    <w:rsid w:val="00A17B59"/>
    <w:rsid w:val="00A23C8B"/>
    <w:rsid w:val="00A46D29"/>
    <w:rsid w:val="00A56AC6"/>
    <w:rsid w:val="00A977C7"/>
    <w:rsid w:val="00AA3778"/>
    <w:rsid w:val="00AA5C60"/>
    <w:rsid w:val="00AB2E64"/>
    <w:rsid w:val="00AC5747"/>
    <w:rsid w:val="00AC60BD"/>
    <w:rsid w:val="00B06AB3"/>
    <w:rsid w:val="00B118EC"/>
    <w:rsid w:val="00B4680B"/>
    <w:rsid w:val="00B64A28"/>
    <w:rsid w:val="00B67462"/>
    <w:rsid w:val="00B74B22"/>
    <w:rsid w:val="00BA56F2"/>
    <w:rsid w:val="00BD6BE3"/>
    <w:rsid w:val="00BE1A93"/>
    <w:rsid w:val="00C21D55"/>
    <w:rsid w:val="00C54891"/>
    <w:rsid w:val="00C60404"/>
    <w:rsid w:val="00C6099F"/>
    <w:rsid w:val="00C61A4B"/>
    <w:rsid w:val="00C628B0"/>
    <w:rsid w:val="00C9029D"/>
    <w:rsid w:val="00CA1CB5"/>
    <w:rsid w:val="00CA3432"/>
    <w:rsid w:val="00CD3D45"/>
    <w:rsid w:val="00CE6AA6"/>
    <w:rsid w:val="00D0578F"/>
    <w:rsid w:val="00D51BA7"/>
    <w:rsid w:val="00D74CC8"/>
    <w:rsid w:val="00D74DE2"/>
    <w:rsid w:val="00D8190D"/>
    <w:rsid w:val="00D9100E"/>
    <w:rsid w:val="00D92195"/>
    <w:rsid w:val="00DB3ECD"/>
    <w:rsid w:val="00DC0A0B"/>
    <w:rsid w:val="00DC59C6"/>
    <w:rsid w:val="00DE142F"/>
    <w:rsid w:val="00E03143"/>
    <w:rsid w:val="00E07170"/>
    <w:rsid w:val="00E14066"/>
    <w:rsid w:val="00E66A11"/>
    <w:rsid w:val="00E75223"/>
    <w:rsid w:val="00EA7D05"/>
    <w:rsid w:val="00EA7F09"/>
    <w:rsid w:val="00EC425A"/>
    <w:rsid w:val="00ED0953"/>
    <w:rsid w:val="00EE7CB8"/>
    <w:rsid w:val="00EF62C4"/>
    <w:rsid w:val="00F0146E"/>
    <w:rsid w:val="00F330A8"/>
    <w:rsid w:val="00F36D64"/>
    <w:rsid w:val="00F460EF"/>
    <w:rsid w:val="00F475E5"/>
    <w:rsid w:val="00F52E65"/>
    <w:rsid w:val="00F64CE2"/>
    <w:rsid w:val="00F75034"/>
    <w:rsid w:val="00F917C1"/>
    <w:rsid w:val="00F96DE7"/>
    <w:rsid w:val="00F97EDB"/>
    <w:rsid w:val="00FA6852"/>
    <w:rsid w:val="00FE2BEC"/>
    <w:rsid w:val="00FE5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fr-FR"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FB"/>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FB"/>
    <w:pPr>
      <w:tabs>
        <w:tab w:val="center" w:pos="4513"/>
        <w:tab w:val="right" w:pos="9026"/>
      </w:tabs>
      <w:snapToGrid w:val="0"/>
    </w:pPr>
  </w:style>
  <w:style w:type="character" w:customStyle="1" w:styleId="HeaderChar">
    <w:name w:val="Header Char"/>
    <w:basedOn w:val="DefaultParagraphFont"/>
    <w:link w:val="Header"/>
    <w:uiPriority w:val="99"/>
    <w:rsid w:val="005C18FB"/>
  </w:style>
  <w:style w:type="paragraph" w:styleId="Footer">
    <w:name w:val="footer"/>
    <w:basedOn w:val="Normal"/>
    <w:link w:val="FooterChar"/>
    <w:uiPriority w:val="99"/>
    <w:unhideWhenUsed/>
    <w:rsid w:val="005C18FB"/>
    <w:pPr>
      <w:tabs>
        <w:tab w:val="center" w:pos="4513"/>
        <w:tab w:val="right" w:pos="9026"/>
      </w:tabs>
      <w:snapToGrid w:val="0"/>
    </w:pPr>
  </w:style>
  <w:style w:type="character" w:customStyle="1" w:styleId="FooterChar">
    <w:name w:val="Footer Char"/>
    <w:basedOn w:val="DefaultParagraphFont"/>
    <w:link w:val="Footer"/>
    <w:uiPriority w:val="99"/>
    <w:rsid w:val="005C18FB"/>
  </w:style>
  <w:style w:type="character" w:styleId="Hyperlink">
    <w:name w:val="Hyperlink"/>
    <w:uiPriority w:val="99"/>
    <w:rsid w:val="00C21D55"/>
    <w:rPr>
      <w:color w:val="0000FF"/>
      <w:u w:val="single"/>
    </w:rPr>
  </w:style>
  <w:style w:type="paragraph" w:styleId="BalloonText">
    <w:name w:val="Balloon Text"/>
    <w:basedOn w:val="Normal"/>
    <w:link w:val="BalloonTextChar"/>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B0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05671"/>
    <w:rPr>
      <w:sz w:val="16"/>
      <w:szCs w:val="16"/>
    </w:rPr>
  </w:style>
  <w:style w:type="paragraph" w:styleId="CommentText">
    <w:name w:val="annotation text"/>
    <w:basedOn w:val="Normal"/>
    <w:link w:val="CommentTextChar"/>
    <w:uiPriority w:val="99"/>
    <w:semiHidden/>
    <w:unhideWhenUsed/>
    <w:rsid w:val="00205671"/>
    <w:pPr>
      <w:spacing w:line="240" w:lineRule="auto"/>
    </w:pPr>
    <w:rPr>
      <w:szCs w:val="20"/>
    </w:rPr>
  </w:style>
  <w:style w:type="character" w:customStyle="1" w:styleId="CommentTextChar">
    <w:name w:val="Comment Text Char"/>
    <w:basedOn w:val="DefaultParagraphFont"/>
    <w:link w:val="CommentText"/>
    <w:uiPriority w:val="99"/>
    <w:semiHidden/>
    <w:rsid w:val="00205671"/>
    <w:rPr>
      <w:szCs w:val="20"/>
    </w:rPr>
  </w:style>
  <w:style w:type="character" w:customStyle="1" w:styleId="im">
    <w:name w:val="im"/>
    <w:basedOn w:val="DefaultParagraphFont"/>
    <w:rsid w:val="00EE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footer" Target="footer1.xml"/><Relationship Id="rId18" Type="http://schemas.openxmlformats.org/officeDocument/2006/relationships/hyperlink" Target="mailto:ashin0@lgenso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tellantis.com/en" TargetMode="External"/><Relationship Id="rId12" Type="http://schemas.openxmlformats.org/officeDocument/2006/relationships/header" Target="header2.xml"/><Relationship Id="rId17" Type="http://schemas.openxmlformats.org/officeDocument/2006/relationships/hyperlink" Target="https://www.lgensol.co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dia.stellantisnorthamerica.com/newsrelease.do?id=22922&amp;mid=779" TargetMode="External"/><Relationship Id="rId19" Type="http://schemas.openxmlformats.org/officeDocument/2006/relationships/hyperlink" Target="mailto:pierreolivier.salmon@stellantis.com" TargetMode="External"/><Relationship Id="rId4" Type="http://schemas.openxmlformats.org/officeDocument/2006/relationships/webSettings" Target="webSettings.xml"/><Relationship Id="rId9" Type="http://schemas.openxmlformats.org/officeDocument/2006/relationships/hyperlink" Target="https://www.stellantis.com/fr/finance/evenements/ev-day-202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1785</Words>
  <Characters>10177</Characters>
  <Application>Microsoft Office Word</Application>
  <DocSecurity>0</DocSecurity>
  <Lines>84</Lines>
  <Paragraphs>23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Connelly Kaileen (FCA)</cp:lastModifiedBy>
  <cp:revision>6</cp:revision>
  <cp:lastPrinted>2021-10-13T07:55:00Z</cp:lastPrinted>
  <dcterms:created xsi:type="dcterms:W3CDTF">2021-10-17T18:48:00Z</dcterms:created>
  <dcterms:modified xsi:type="dcterms:W3CDTF">2021-10-17T18:53:00Z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2021-10-17T17:52:46Z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ed851cc6-adbe-4683-a39a-20e6c6c59875</vt:lpwstr>
  </property>
  <property fmtid="{D5CDD505-2E9C-101B-9397-08002B2CF9AE}" pid="8" name="MSIP_Label_2fd53d93-3f4c-4b90-b511-bd6bdbb4fba9_ContentBits">
    <vt:lpwstr>0</vt:lpwstr>
  </property>
</Properties>
</file>