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639" w14:textId="02F4184E" w:rsidR="00D90200" w:rsidRPr="000B2E42" w:rsidRDefault="00DB7F49" w:rsidP="003D6BE5">
      <w:pPr>
        <w:pBdr>
          <w:top w:val="nil"/>
          <w:left w:val="nil"/>
          <w:bottom w:val="nil"/>
          <w:right w:val="nil"/>
          <w:between w:val="nil"/>
        </w:pBdr>
        <w:spacing w:after="480"/>
        <w:jc w:val="center"/>
        <w:rPr>
          <w:rFonts w:ascii="Arial" w:eastAsia="Arial" w:hAnsi="Arial" w:cs="Arial"/>
          <w:b/>
          <w:color w:val="000000"/>
          <w:sz w:val="28"/>
          <w:szCs w:val="28"/>
        </w:rPr>
      </w:pPr>
      <w:r>
        <w:rPr>
          <w:rFonts w:ascii="Arial" w:hAnsi="Arial"/>
          <w:b/>
          <w:color w:val="000000"/>
          <w:sz w:val="28"/>
          <w:szCs w:val="28"/>
        </w:rPr>
        <w:t xml:space="preserve">Stellantis </w:t>
      </w:r>
      <w:r w:rsidR="0051103C">
        <w:rPr>
          <w:rFonts w:ascii="Arial" w:hAnsi="Arial"/>
          <w:b/>
          <w:color w:val="000000"/>
          <w:sz w:val="28"/>
          <w:szCs w:val="28"/>
        </w:rPr>
        <w:t xml:space="preserve">étend </w:t>
      </w:r>
      <w:r>
        <w:rPr>
          <w:rFonts w:ascii="Arial" w:hAnsi="Arial"/>
          <w:b/>
          <w:color w:val="000000"/>
          <w:sz w:val="28"/>
          <w:szCs w:val="28"/>
        </w:rPr>
        <w:t xml:space="preserve">son partenariat avec Vulcan Energy et </w:t>
      </w:r>
      <w:r w:rsidR="00CD3328">
        <w:rPr>
          <w:rFonts w:ascii="Arial" w:hAnsi="Arial"/>
          <w:b/>
          <w:color w:val="000000"/>
          <w:sz w:val="28"/>
          <w:szCs w:val="28"/>
        </w:rPr>
        <w:t xml:space="preserve">devient actionnaire </w:t>
      </w:r>
      <w:r>
        <w:rPr>
          <w:rFonts w:ascii="Arial" w:hAnsi="Arial"/>
          <w:b/>
          <w:color w:val="000000"/>
          <w:sz w:val="28"/>
          <w:szCs w:val="28"/>
        </w:rPr>
        <w:t xml:space="preserve">de </w:t>
      </w:r>
      <w:r w:rsidR="0051103C">
        <w:rPr>
          <w:rFonts w:ascii="Arial" w:hAnsi="Arial"/>
          <w:b/>
          <w:color w:val="000000"/>
          <w:sz w:val="28"/>
          <w:szCs w:val="28"/>
        </w:rPr>
        <w:t xml:space="preserve">cette </w:t>
      </w:r>
      <w:r>
        <w:rPr>
          <w:rFonts w:ascii="Arial" w:hAnsi="Arial"/>
          <w:b/>
          <w:color w:val="000000"/>
          <w:sz w:val="28"/>
          <w:szCs w:val="28"/>
        </w:rPr>
        <w:t>société de production de lithium décarboné</w:t>
      </w:r>
    </w:p>
    <w:p w14:paraId="272C8987" w14:textId="7F3EB4D5" w:rsidR="00115CA3" w:rsidRDefault="00115CA3" w:rsidP="00151FE1">
      <w:pPr>
        <w:numPr>
          <w:ilvl w:val="0"/>
          <w:numId w:val="1"/>
        </w:numPr>
        <w:spacing w:after="0"/>
        <w:rPr>
          <w:rFonts w:ascii="Arial" w:eastAsia="Arial" w:hAnsi="Arial" w:cs="Arial"/>
        </w:rPr>
      </w:pPr>
      <w:r>
        <w:rPr>
          <w:rFonts w:ascii="Arial" w:hAnsi="Arial"/>
        </w:rPr>
        <w:t>Stellantis deviendra le deuxième actionnaire de Vulcan</w:t>
      </w:r>
    </w:p>
    <w:p w14:paraId="1A564787" w14:textId="5127EFA0" w:rsidR="00D90200" w:rsidRDefault="00115CA3" w:rsidP="00151FE1">
      <w:pPr>
        <w:numPr>
          <w:ilvl w:val="0"/>
          <w:numId w:val="1"/>
        </w:numPr>
        <w:spacing w:after="0"/>
        <w:rPr>
          <w:rFonts w:ascii="Arial" w:eastAsia="Arial" w:hAnsi="Arial" w:cs="Arial"/>
        </w:rPr>
      </w:pPr>
      <w:r>
        <w:rPr>
          <w:rFonts w:ascii="Arial" w:hAnsi="Arial"/>
        </w:rPr>
        <w:t>Cet investissement permettra d</w:t>
      </w:r>
      <w:r w:rsidR="000170E9">
        <w:rPr>
          <w:rFonts w:ascii="Arial" w:hAnsi="Arial"/>
        </w:rPr>
        <w:t>’</w:t>
      </w:r>
      <w:r>
        <w:rPr>
          <w:rFonts w:ascii="Arial" w:hAnsi="Arial"/>
        </w:rPr>
        <w:t>augmenter la production d</w:t>
      </w:r>
      <w:r w:rsidR="000170E9">
        <w:rPr>
          <w:rFonts w:ascii="Arial" w:hAnsi="Arial"/>
        </w:rPr>
        <w:t>’</w:t>
      </w:r>
      <w:r>
        <w:rPr>
          <w:rFonts w:ascii="Arial" w:hAnsi="Arial"/>
        </w:rPr>
        <w:t>hydroxyde de lithium à faibles émissions nécessaire aux véhicules électrifiés de Stellantis en Europe</w:t>
      </w:r>
    </w:p>
    <w:p w14:paraId="7B02D251" w14:textId="739564B1" w:rsidR="00D90200" w:rsidRDefault="00115CA3" w:rsidP="00151FE1">
      <w:pPr>
        <w:numPr>
          <w:ilvl w:val="0"/>
          <w:numId w:val="1"/>
        </w:numPr>
        <w:spacing w:after="0"/>
        <w:rPr>
          <w:rFonts w:ascii="Arial" w:eastAsia="Arial" w:hAnsi="Arial" w:cs="Arial"/>
        </w:rPr>
      </w:pPr>
      <w:r>
        <w:rPr>
          <w:rFonts w:ascii="Arial" w:hAnsi="Arial"/>
        </w:rPr>
        <w:t>La durée de l</w:t>
      </w:r>
      <w:r w:rsidR="000170E9">
        <w:rPr>
          <w:rFonts w:ascii="Arial" w:hAnsi="Arial"/>
        </w:rPr>
        <w:t>’</w:t>
      </w:r>
      <w:r>
        <w:rPr>
          <w:rFonts w:ascii="Arial" w:hAnsi="Arial"/>
        </w:rPr>
        <w:t>accord initial est portée à 10 ans</w:t>
      </w:r>
    </w:p>
    <w:p w14:paraId="364B6A2F" w14:textId="3C1CE00C" w:rsidR="00D90200" w:rsidRDefault="00D90200" w:rsidP="003D6BE5">
      <w:pPr>
        <w:spacing w:after="0"/>
        <w:ind w:left="720"/>
        <w:rPr>
          <w:rFonts w:ascii="Arial" w:eastAsia="Arial" w:hAnsi="Arial" w:cs="Arial"/>
          <w:color w:val="000000"/>
          <w:sz w:val="22"/>
          <w:szCs w:val="22"/>
        </w:rPr>
      </w:pPr>
    </w:p>
    <w:p w14:paraId="3ACC0826" w14:textId="77777777" w:rsidR="003D6BE5" w:rsidRDefault="003D6BE5" w:rsidP="003D6BE5">
      <w:pPr>
        <w:spacing w:after="0"/>
        <w:ind w:left="720"/>
        <w:rPr>
          <w:rFonts w:ascii="Arial" w:eastAsia="Arial" w:hAnsi="Arial" w:cs="Arial"/>
          <w:color w:val="000000"/>
          <w:sz w:val="22"/>
          <w:szCs w:val="22"/>
        </w:rPr>
      </w:pPr>
    </w:p>
    <w:p w14:paraId="18C1383A" w14:textId="0598A08F" w:rsidR="00C818B8" w:rsidRDefault="00DB7F49" w:rsidP="00151FE1">
      <w:pPr>
        <w:pBdr>
          <w:top w:val="nil"/>
          <w:left w:val="nil"/>
          <w:bottom w:val="nil"/>
          <w:right w:val="nil"/>
          <w:between w:val="nil"/>
        </w:pBdr>
        <w:rPr>
          <w:rFonts w:ascii="Arial" w:eastAsia="Arial" w:hAnsi="Arial" w:cs="Arial"/>
          <w:color w:val="000000"/>
          <w:sz w:val="22"/>
          <w:szCs w:val="22"/>
        </w:rPr>
      </w:pPr>
      <w:r>
        <w:rPr>
          <w:rFonts w:ascii="Arial" w:hAnsi="Arial"/>
          <w:b/>
          <w:color w:val="000000"/>
          <w:sz w:val="22"/>
          <w:szCs w:val="22"/>
        </w:rPr>
        <w:t xml:space="preserve">AMSTERDAM, le 24 juin 2022 </w:t>
      </w:r>
      <w:r>
        <w:rPr>
          <w:rFonts w:ascii="Arial" w:hAnsi="Arial"/>
          <w:color w:val="000000"/>
          <w:sz w:val="22"/>
          <w:szCs w:val="22"/>
        </w:rPr>
        <w:t xml:space="preserve">– </w:t>
      </w:r>
      <w:hyperlink r:id="rId11" w:history="1">
        <w:r>
          <w:rPr>
            <w:rStyle w:val="Hyperlink"/>
            <w:rFonts w:ascii="Arial" w:hAnsi="Arial"/>
            <w:sz w:val="22"/>
            <w:szCs w:val="22"/>
            <w:u w:val="single"/>
            <w:shd w:val="clear" w:color="auto" w:fill="FFFFFF"/>
          </w:rPr>
          <w:t>Stellantis N.V.</w:t>
        </w:r>
      </w:hyperlink>
      <w:r>
        <w:rPr>
          <w:rFonts w:ascii="Arial" w:hAnsi="Arial"/>
          <w:sz w:val="22"/>
          <w:szCs w:val="22"/>
          <w:shd w:val="clear" w:color="auto" w:fill="FFFFFF"/>
        </w:rPr>
        <w:t xml:space="preserve"> </w:t>
      </w:r>
      <w:r>
        <w:rPr>
          <w:rFonts w:ascii="Arial" w:hAnsi="Arial"/>
          <w:color w:val="000000"/>
          <w:sz w:val="22"/>
          <w:szCs w:val="22"/>
        </w:rPr>
        <w:t xml:space="preserve">et Vulcan Energy </w:t>
      </w:r>
      <w:proofErr w:type="spellStart"/>
      <w:r>
        <w:rPr>
          <w:rFonts w:ascii="Arial" w:hAnsi="Arial"/>
          <w:color w:val="000000"/>
          <w:sz w:val="22"/>
          <w:szCs w:val="22"/>
        </w:rPr>
        <w:t>Resources</w:t>
      </w:r>
      <w:proofErr w:type="spellEnd"/>
      <w:r>
        <w:rPr>
          <w:rFonts w:ascii="Arial" w:hAnsi="Arial"/>
          <w:color w:val="000000"/>
          <w:sz w:val="22"/>
          <w:szCs w:val="22"/>
        </w:rPr>
        <w:t xml:space="preserve"> Ltd.</w:t>
      </w:r>
      <w:r w:rsidR="00E06A59">
        <w:rPr>
          <w:rFonts w:ascii="Arial" w:hAnsi="Arial"/>
          <w:color w:val="000000"/>
          <w:sz w:val="22"/>
          <w:szCs w:val="22"/>
        </w:rPr>
        <w:t xml:space="preserve"> </w:t>
      </w:r>
      <w:proofErr w:type="gramStart"/>
      <w:r w:rsidR="00E06A59">
        <w:rPr>
          <w:rFonts w:ascii="Arial" w:hAnsi="Arial"/>
          <w:color w:val="000000"/>
          <w:sz w:val="22"/>
          <w:szCs w:val="22"/>
        </w:rPr>
        <w:t>annonce</w:t>
      </w:r>
      <w:r w:rsidR="00414EAA">
        <w:rPr>
          <w:rFonts w:ascii="Arial" w:hAnsi="Arial"/>
          <w:color w:val="000000"/>
          <w:sz w:val="22"/>
          <w:szCs w:val="22"/>
        </w:rPr>
        <w:t>nt</w:t>
      </w:r>
      <w:proofErr w:type="gramEnd"/>
      <w:r w:rsidR="00F01B5A">
        <w:rPr>
          <w:rFonts w:ascii="Arial" w:hAnsi="Arial"/>
          <w:color w:val="000000"/>
          <w:sz w:val="22"/>
          <w:szCs w:val="22"/>
        </w:rPr>
        <w:t xml:space="preserve"> </w:t>
      </w:r>
      <w:r>
        <w:rPr>
          <w:rFonts w:ascii="Arial" w:hAnsi="Arial"/>
          <w:color w:val="000000"/>
          <w:sz w:val="22"/>
          <w:szCs w:val="22"/>
        </w:rPr>
        <w:t>aujourd</w:t>
      </w:r>
      <w:r w:rsidR="000170E9">
        <w:rPr>
          <w:rFonts w:ascii="Arial" w:hAnsi="Arial"/>
          <w:color w:val="000000"/>
          <w:sz w:val="22"/>
          <w:szCs w:val="22"/>
        </w:rPr>
        <w:t>’</w:t>
      </w:r>
      <w:r>
        <w:rPr>
          <w:rFonts w:ascii="Arial" w:hAnsi="Arial"/>
          <w:color w:val="000000"/>
          <w:sz w:val="22"/>
          <w:szCs w:val="22"/>
        </w:rPr>
        <w:t xml:space="preserve">hui </w:t>
      </w:r>
      <w:r w:rsidR="005F7F7C" w:rsidRPr="005F7F7C">
        <w:rPr>
          <w:rFonts w:ascii="Arial" w:hAnsi="Arial"/>
          <w:color w:val="000000"/>
          <w:sz w:val="22"/>
          <w:szCs w:val="22"/>
        </w:rPr>
        <w:t>l</w:t>
      </w:r>
      <w:r w:rsidR="000170E9">
        <w:rPr>
          <w:rFonts w:ascii="Arial" w:hAnsi="Arial"/>
          <w:color w:val="000000"/>
          <w:sz w:val="22"/>
          <w:szCs w:val="22"/>
        </w:rPr>
        <w:t>’</w:t>
      </w:r>
      <w:r w:rsidR="005F7F7C" w:rsidRPr="005F7F7C">
        <w:rPr>
          <w:rFonts w:ascii="Arial" w:hAnsi="Arial"/>
          <w:color w:val="000000"/>
          <w:sz w:val="22"/>
          <w:szCs w:val="22"/>
        </w:rPr>
        <w:t>entrée de Stellantis dans le capital de Vulcan pour un montant de 50 millions d</w:t>
      </w:r>
      <w:r w:rsidR="000170E9">
        <w:rPr>
          <w:rFonts w:ascii="Arial" w:hAnsi="Arial"/>
          <w:color w:val="000000"/>
          <w:sz w:val="22"/>
          <w:szCs w:val="22"/>
        </w:rPr>
        <w:t>’</w:t>
      </w:r>
      <w:r w:rsidR="005F7F7C" w:rsidRPr="005F7F7C">
        <w:rPr>
          <w:rFonts w:ascii="Arial" w:hAnsi="Arial"/>
          <w:color w:val="000000"/>
          <w:sz w:val="22"/>
          <w:szCs w:val="22"/>
        </w:rPr>
        <w:t>euros</w:t>
      </w:r>
      <w:r>
        <w:rPr>
          <w:rFonts w:ascii="Arial" w:hAnsi="Arial"/>
          <w:color w:val="000000"/>
          <w:sz w:val="22"/>
          <w:szCs w:val="22"/>
        </w:rPr>
        <w:t>, accompagné</w:t>
      </w:r>
      <w:r w:rsidR="001D1BD9">
        <w:rPr>
          <w:rFonts w:ascii="Arial" w:hAnsi="Arial"/>
          <w:color w:val="000000"/>
          <w:sz w:val="22"/>
          <w:szCs w:val="22"/>
        </w:rPr>
        <w:t>e</w:t>
      </w:r>
      <w:r>
        <w:rPr>
          <w:rFonts w:ascii="Arial" w:hAnsi="Arial"/>
          <w:color w:val="000000"/>
          <w:sz w:val="22"/>
          <w:szCs w:val="22"/>
        </w:rPr>
        <w:t xml:space="preserve"> d</w:t>
      </w:r>
      <w:r w:rsidR="000170E9">
        <w:rPr>
          <w:rFonts w:ascii="Arial" w:hAnsi="Arial"/>
          <w:color w:val="000000"/>
          <w:sz w:val="22"/>
          <w:szCs w:val="22"/>
        </w:rPr>
        <w:t>’</w:t>
      </w:r>
      <w:r>
        <w:rPr>
          <w:rFonts w:ascii="Arial" w:hAnsi="Arial"/>
          <w:color w:val="000000"/>
          <w:sz w:val="22"/>
          <w:szCs w:val="22"/>
        </w:rPr>
        <w:t xml:space="preserve">une prolongation de </w:t>
      </w:r>
      <w:hyperlink r:id="rId12" w:history="1">
        <w:r w:rsidRPr="00D74D35">
          <w:rPr>
            <w:rStyle w:val="Hyperlink"/>
            <w:rFonts w:ascii="Arial" w:hAnsi="Arial"/>
            <w:sz w:val="22"/>
            <w:szCs w:val="22"/>
            <w:u w:val="single"/>
          </w:rPr>
          <w:t>l</w:t>
        </w:r>
        <w:r w:rsidR="000170E9">
          <w:rPr>
            <w:rStyle w:val="Hyperlink"/>
            <w:rFonts w:ascii="Arial" w:hAnsi="Arial"/>
            <w:sz w:val="22"/>
            <w:szCs w:val="22"/>
            <w:u w:val="single"/>
          </w:rPr>
          <w:t>’</w:t>
        </w:r>
        <w:r w:rsidRPr="00D74D35">
          <w:rPr>
            <w:rStyle w:val="Hyperlink"/>
            <w:rFonts w:ascii="Arial" w:hAnsi="Arial"/>
            <w:sz w:val="22"/>
            <w:szCs w:val="22"/>
            <w:u w:val="single"/>
          </w:rPr>
          <w:t>accord d</w:t>
        </w:r>
        <w:r w:rsidR="000170E9">
          <w:rPr>
            <w:rStyle w:val="Hyperlink"/>
            <w:rFonts w:ascii="Arial" w:hAnsi="Arial"/>
            <w:sz w:val="22"/>
            <w:szCs w:val="22"/>
            <w:u w:val="single"/>
          </w:rPr>
          <w:t>’</w:t>
        </w:r>
        <w:r w:rsidRPr="00D74D35">
          <w:rPr>
            <w:rStyle w:val="Hyperlink"/>
            <w:rFonts w:ascii="Arial" w:hAnsi="Arial"/>
            <w:sz w:val="22"/>
            <w:szCs w:val="22"/>
            <w:u w:val="single"/>
          </w:rPr>
          <w:t>approvisionnement initial</w:t>
        </w:r>
      </w:hyperlink>
      <w:r>
        <w:rPr>
          <w:rFonts w:ascii="Arial" w:hAnsi="Arial"/>
          <w:color w:val="000000"/>
          <w:sz w:val="22"/>
          <w:szCs w:val="22"/>
        </w:rPr>
        <w:t xml:space="preserve"> qui est porté à 10 ans. Cet investissement est destiné à soutenir le développement de la production prévu par Vulcan </w:t>
      </w:r>
      <w:r w:rsidR="00D74D35">
        <w:rPr>
          <w:rFonts w:ascii="Arial" w:hAnsi="Arial"/>
          <w:color w:val="000000"/>
          <w:sz w:val="22"/>
          <w:szCs w:val="22"/>
        </w:rPr>
        <w:t xml:space="preserve">de </w:t>
      </w:r>
      <w:r>
        <w:rPr>
          <w:rFonts w:ascii="Arial" w:hAnsi="Arial"/>
          <w:color w:val="000000"/>
          <w:sz w:val="22"/>
          <w:szCs w:val="22"/>
        </w:rPr>
        <w:t xml:space="preserve">son gisement de saumure </w:t>
      </w:r>
      <w:r w:rsidR="00D74D35">
        <w:rPr>
          <w:rFonts w:ascii="Arial" w:hAnsi="Arial"/>
          <w:color w:val="000000"/>
          <w:sz w:val="22"/>
          <w:szCs w:val="22"/>
        </w:rPr>
        <w:t xml:space="preserve">situé dans </w:t>
      </w:r>
      <w:r>
        <w:rPr>
          <w:rFonts w:ascii="Arial" w:hAnsi="Arial"/>
          <w:color w:val="000000"/>
          <w:sz w:val="22"/>
          <w:szCs w:val="22"/>
        </w:rPr>
        <w:t>la haute vallée du Rhin en Allemagne. Vulcan, qui génère déjà de l</w:t>
      </w:r>
      <w:r w:rsidR="000170E9">
        <w:rPr>
          <w:rFonts w:ascii="Arial" w:hAnsi="Arial"/>
          <w:color w:val="000000"/>
          <w:sz w:val="22"/>
          <w:szCs w:val="22"/>
        </w:rPr>
        <w:t>’</w:t>
      </w:r>
      <w:r>
        <w:rPr>
          <w:rFonts w:ascii="Arial" w:hAnsi="Arial"/>
          <w:color w:val="000000"/>
          <w:sz w:val="22"/>
          <w:szCs w:val="22"/>
        </w:rPr>
        <w:t>énergie géothermique à partir de ce gisement, prévoit de produire de l</w:t>
      </w:r>
      <w:r w:rsidR="000170E9">
        <w:rPr>
          <w:rFonts w:ascii="Arial" w:hAnsi="Arial"/>
          <w:color w:val="000000"/>
          <w:sz w:val="22"/>
          <w:szCs w:val="22"/>
        </w:rPr>
        <w:t>’</w:t>
      </w:r>
      <w:r>
        <w:rPr>
          <w:rFonts w:ascii="Arial" w:hAnsi="Arial"/>
          <w:color w:val="000000"/>
          <w:sz w:val="22"/>
          <w:szCs w:val="22"/>
        </w:rPr>
        <w:t xml:space="preserve">hydroxyde de lithium sans utiliser de combustibles fossiles et avec une empreinte carbone neutre dans le cadre de son projet </w:t>
      </w:r>
      <w:proofErr w:type="spellStart"/>
      <w:r>
        <w:rPr>
          <w:rFonts w:ascii="Arial" w:hAnsi="Arial"/>
          <w:color w:val="000000"/>
          <w:sz w:val="22"/>
          <w:szCs w:val="22"/>
        </w:rPr>
        <w:t>Zero</w:t>
      </w:r>
      <w:proofErr w:type="spellEnd"/>
      <w:r>
        <w:rPr>
          <w:rFonts w:ascii="Arial" w:hAnsi="Arial"/>
          <w:color w:val="000000"/>
          <w:sz w:val="22"/>
          <w:szCs w:val="22"/>
        </w:rPr>
        <w:t xml:space="preserve"> Carbon Lithium™.</w:t>
      </w:r>
    </w:p>
    <w:p w14:paraId="6E6180BA" w14:textId="77E380D9" w:rsidR="00D90200" w:rsidRDefault="00DB7F49" w:rsidP="00151FE1">
      <w:pPr>
        <w:pBdr>
          <w:top w:val="nil"/>
          <w:left w:val="nil"/>
          <w:bottom w:val="nil"/>
          <w:right w:val="nil"/>
          <w:between w:val="nil"/>
        </w:pBdr>
        <w:rPr>
          <w:rFonts w:ascii="Arial" w:eastAsia="Arial" w:hAnsi="Arial" w:cs="Arial"/>
          <w:color w:val="000000"/>
          <w:sz w:val="22"/>
          <w:szCs w:val="22"/>
        </w:rPr>
      </w:pPr>
      <w:r>
        <w:rPr>
          <w:rFonts w:ascii="Arial" w:hAnsi="Arial"/>
          <w:sz w:val="22"/>
          <w:szCs w:val="22"/>
        </w:rPr>
        <w:t>« Cet investissement hautement stratégique dans une grande société de production de lithium nous permet de créer une chaîne de valeur robuste et durable pour la production des batteries de nos véhicules électriques en Europe », a déclaré Carlos Tavares, CEO de Stellantis.</w:t>
      </w:r>
      <w:r>
        <w:rPr>
          <w:rFonts w:ascii="Arial" w:hAnsi="Arial"/>
          <w:color w:val="000000"/>
          <w:sz w:val="22"/>
          <w:szCs w:val="22"/>
        </w:rPr>
        <w:t xml:space="preserve"> « Nous continuons à bâtir des relations solides avec des partenaires qui partagent nos valeurs et s</w:t>
      </w:r>
      <w:r w:rsidR="000170E9">
        <w:rPr>
          <w:rFonts w:ascii="Arial" w:hAnsi="Arial"/>
          <w:color w:val="000000"/>
          <w:sz w:val="22"/>
          <w:szCs w:val="22"/>
        </w:rPr>
        <w:t>’</w:t>
      </w:r>
      <w:r>
        <w:rPr>
          <w:rFonts w:ascii="Arial" w:hAnsi="Arial"/>
          <w:color w:val="000000"/>
          <w:sz w:val="22"/>
          <w:szCs w:val="22"/>
        </w:rPr>
        <w:t>efforcent comme nous de lutter contre le réchauffement climatique tout en offrant à nos clients des solutions de mobilité propres, sûres et abordables. »</w:t>
      </w:r>
    </w:p>
    <w:p w14:paraId="783D30D6" w14:textId="18BBD450" w:rsidR="00C818B8" w:rsidRDefault="00C818B8" w:rsidP="00151FE1">
      <w:pPr>
        <w:pBdr>
          <w:top w:val="nil"/>
          <w:left w:val="nil"/>
          <w:bottom w:val="nil"/>
          <w:right w:val="nil"/>
          <w:between w:val="nil"/>
        </w:pBdr>
        <w:rPr>
          <w:rFonts w:ascii="Arial" w:eastAsia="Arial" w:hAnsi="Arial" w:cs="Arial"/>
          <w:sz w:val="22"/>
          <w:szCs w:val="22"/>
        </w:rPr>
      </w:pPr>
      <w:r>
        <w:rPr>
          <w:rFonts w:ascii="Arial" w:hAnsi="Arial"/>
          <w:sz w:val="22"/>
          <w:szCs w:val="22"/>
        </w:rPr>
        <w:t>« L</w:t>
      </w:r>
      <w:r w:rsidR="000170E9">
        <w:rPr>
          <w:rFonts w:ascii="Arial" w:hAnsi="Arial"/>
          <w:sz w:val="22"/>
          <w:szCs w:val="22"/>
        </w:rPr>
        <w:t>’</w:t>
      </w:r>
      <w:r>
        <w:rPr>
          <w:rFonts w:ascii="Arial" w:hAnsi="Arial"/>
          <w:sz w:val="22"/>
          <w:szCs w:val="22"/>
        </w:rPr>
        <w:t xml:space="preserve">investissement </w:t>
      </w:r>
      <w:r w:rsidR="0051103C">
        <w:rPr>
          <w:rFonts w:ascii="Arial" w:hAnsi="Arial"/>
          <w:sz w:val="22"/>
          <w:szCs w:val="22"/>
        </w:rPr>
        <w:t xml:space="preserve">important </w:t>
      </w:r>
      <w:r>
        <w:rPr>
          <w:rFonts w:ascii="Arial" w:hAnsi="Arial"/>
          <w:sz w:val="22"/>
          <w:szCs w:val="22"/>
        </w:rPr>
        <w:t>d</w:t>
      </w:r>
      <w:r w:rsidR="000170E9">
        <w:rPr>
          <w:rFonts w:ascii="Arial" w:hAnsi="Arial"/>
          <w:sz w:val="22"/>
          <w:szCs w:val="22"/>
        </w:rPr>
        <w:t>’</w:t>
      </w:r>
      <w:r>
        <w:rPr>
          <w:rFonts w:ascii="Arial" w:hAnsi="Arial"/>
          <w:sz w:val="22"/>
          <w:szCs w:val="22"/>
        </w:rPr>
        <w:t xml:space="preserve">un des plus grands constructeurs automobiles </w:t>
      </w:r>
      <w:proofErr w:type="gramStart"/>
      <w:r w:rsidR="00D74D35">
        <w:rPr>
          <w:rFonts w:ascii="Arial" w:hAnsi="Arial"/>
          <w:sz w:val="22"/>
          <w:szCs w:val="22"/>
        </w:rPr>
        <w:t>mondiaux</w:t>
      </w:r>
      <w:proofErr w:type="gramEnd"/>
      <w:r w:rsidR="00D74D35">
        <w:rPr>
          <w:rFonts w:ascii="Arial" w:hAnsi="Arial"/>
          <w:sz w:val="22"/>
          <w:szCs w:val="22"/>
        </w:rPr>
        <w:t xml:space="preserve"> </w:t>
      </w:r>
      <w:r>
        <w:rPr>
          <w:rFonts w:ascii="Arial" w:hAnsi="Arial"/>
          <w:sz w:val="22"/>
          <w:szCs w:val="22"/>
        </w:rPr>
        <w:t xml:space="preserve">dans Vulcan et </w:t>
      </w:r>
      <w:r w:rsidR="0051103C">
        <w:rPr>
          <w:rFonts w:ascii="Arial" w:hAnsi="Arial"/>
          <w:sz w:val="22"/>
          <w:szCs w:val="22"/>
        </w:rPr>
        <w:t xml:space="preserve">dans </w:t>
      </w:r>
      <w:r>
        <w:rPr>
          <w:rFonts w:ascii="Arial" w:hAnsi="Arial"/>
          <w:sz w:val="22"/>
          <w:szCs w:val="22"/>
        </w:rPr>
        <w:t xml:space="preserve">le projet </w:t>
      </w:r>
      <w:proofErr w:type="spellStart"/>
      <w:r>
        <w:rPr>
          <w:rFonts w:ascii="Arial" w:hAnsi="Arial"/>
          <w:sz w:val="22"/>
          <w:szCs w:val="22"/>
        </w:rPr>
        <w:t>Zero</w:t>
      </w:r>
      <w:proofErr w:type="spellEnd"/>
      <w:r>
        <w:rPr>
          <w:rFonts w:ascii="Arial" w:hAnsi="Arial"/>
          <w:sz w:val="22"/>
          <w:szCs w:val="22"/>
        </w:rPr>
        <w:t xml:space="preserve"> Carbon Lithium™ </w:t>
      </w:r>
      <w:r w:rsidR="00D74D35" w:rsidRPr="0051103C">
        <w:rPr>
          <w:rFonts w:ascii="Arial" w:hAnsi="Arial"/>
          <w:sz w:val="22"/>
          <w:szCs w:val="22"/>
        </w:rPr>
        <w:t xml:space="preserve">représentent </w:t>
      </w:r>
      <w:r w:rsidRPr="0051103C">
        <w:rPr>
          <w:rFonts w:ascii="Arial" w:hAnsi="Arial"/>
          <w:sz w:val="22"/>
          <w:szCs w:val="22"/>
        </w:rPr>
        <w:t xml:space="preserve">une </w:t>
      </w:r>
      <w:r w:rsidR="0051103C" w:rsidRPr="00151FE1">
        <w:rPr>
          <w:rFonts w:ascii="Arial" w:hAnsi="Arial"/>
          <w:sz w:val="22"/>
          <w:szCs w:val="22"/>
        </w:rPr>
        <w:t xml:space="preserve">avancée </w:t>
      </w:r>
      <w:r w:rsidR="0051103C">
        <w:rPr>
          <w:rFonts w:ascii="Arial" w:hAnsi="Arial"/>
          <w:sz w:val="22"/>
          <w:szCs w:val="22"/>
        </w:rPr>
        <w:t xml:space="preserve">conséquente </w:t>
      </w:r>
      <w:r w:rsidRPr="0051103C">
        <w:rPr>
          <w:rFonts w:ascii="Arial" w:hAnsi="Arial"/>
          <w:sz w:val="22"/>
          <w:szCs w:val="22"/>
        </w:rPr>
        <w:t>en</w:t>
      </w:r>
      <w:r>
        <w:rPr>
          <w:rFonts w:ascii="Arial" w:hAnsi="Arial"/>
          <w:sz w:val="22"/>
          <w:szCs w:val="22"/>
        </w:rPr>
        <w:t xml:space="preserve"> matière d</w:t>
      </w:r>
      <w:r w:rsidR="000170E9">
        <w:rPr>
          <w:rFonts w:ascii="Arial" w:hAnsi="Arial"/>
          <w:sz w:val="22"/>
          <w:szCs w:val="22"/>
        </w:rPr>
        <w:t>’</w:t>
      </w:r>
      <w:r>
        <w:rPr>
          <w:rFonts w:ascii="Arial" w:hAnsi="Arial"/>
          <w:sz w:val="22"/>
          <w:szCs w:val="22"/>
        </w:rPr>
        <w:t>approvisionnement stratégique et durable de</w:t>
      </w:r>
      <w:r w:rsidR="0051103C">
        <w:rPr>
          <w:rFonts w:ascii="Arial" w:hAnsi="Arial"/>
          <w:sz w:val="22"/>
          <w:szCs w:val="22"/>
        </w:rPr>
        <w:t>s</w:t>
      </w:r>
      <w:r>
        <w:rPr>
          <w:rFonts w:ascii="Arial" w:hAnsi="Arial"/>
          <w:sz w:val="22"/>
          <w:szCs w:val="22"/>
        </w:rPr>
        <w:t xml:space="preserve"> matières premières pour </w:t>
      </w:r>
      <w:r w:rsidR="00A651FC">
        <w:rPr>
          <w:rFonts w:ascii="Arial" w:hAnsi="Arial"/>
          <w:sz w:val="22"/>
          <w:szCs w:val="22"/>
        </w:rPr>
        <w:t xml:space="preserve">les </w:t>
      </w:r>
      <w:r>
        <w:rPr>
          <w:rFonts w:ascii="Arial" w:hAnsi="Arial"/>
          <w:sz w:val="22"/>
          <w:szCs w:val="22"/>
        </w:rPr>
        <w:t xml:space="preserve">batteries », a déclaré le Dr Francis </w:t>
      </w:r>
      <w:proofErr w:type="spellStart"/>
      <w:r>
        <w:rPr>
          <w:rFonts w:ascii="Arial" w:hAnsi="Arial"/>
          <w:sz w:val="22"/>
          <w:szCs w:val="22"/>
        </w:rPr>
        <w:t>Wedin</w:t>
      </w:r>
      <w:proofErr w:type="spellEnd"/>
      <w:r>
        <w:rPr>
          <w:rFonts w:ascii="Arial" w:hAnsi="Arial"/>
          <w:sz w:val="22"/>
          <w:szCs w:val="22"/>
        </w:rPr>
        <w:t xml:space="preserve">, </w:t>
      </w:r>
      <w:r w:rsidR="003D6BE5">
        <w:rPr>
          <w:rFonts w:ascii="Arial" w:hAnsi="Arial"/>
          <w:sz w:val="22"/>
          <w:szCs w:val="22"/>
        </w:rPr>
        <w:t>D</w:t>
      </w:r>
      <w:r>
        <w:rPr>
          <w:rFonts w:ascii="Arial" w:hAnsi="Arial"/>
          <w:sz w:val="22"/>
          <w:szCs w:val="22"/>
        </w:rPr>
        <w:t xml:space="preserve">irecteur </w:t>
      </w:r>
      <w:r w:rsidR="003D6BE5">
        <w:rPr>
          <w:rFonts w:ascii="Arial" w:hAnsi="Arial"/>
          <w:sz w:val="22"/>
          <w:szCs w:val="22"/>
        </w:rPr>
        <w:t>G</w:t>
      </w:r>
      <w:r>
        <w:rPr>
          <w:rFonts w:ascii="Arial" w:hAnsi="Arial"/>
          <w:sz w:val="22"/>
          <w:szCs w:val="22"/>
        </w:rPr>
        <w:t>énéral de Vulcan. « Nous sommes pleinement en phase avec les objectifs de décarbonisation et d</w:t>
      </w:r>
      <w:r w:rsidR="000170E9">
        <w:rPr>
          <w:rFonts w:ascii="Arial" w:hAnsi="Arial"/>
          <w:sz w:val="22"/>
          <w:szCs w:val="22"/>
        </w:rPr>
        <w:t>’</w:t>
      </w:r>
      <w:r>
        <w:rPr>
          <w:rFonts w:ascii="Arial" w:hAnsi="Arial"/>
          <w:sz w:val="22"/>
          <w:szCs w:val="22"/>
        </w:rPr>
        <w:t>électrification de Stellantis, qui font partie des plus ambitieux du secteur. Il est encourageant de voir un constructeur automobile de premier plan investir dans la production locale de lithium à faibles émissions destiné aux véhicules électriques. Stellantis est déjà notre client</w:t>
      </w:r>
      <w:r w:rsidR="00D74D35">
        <w:rPr>
          <w:rFonts w:ascii="Arial" w:hAnsi="Arial"/>
          <w:sz w:val="22"/>
          <w:szCs w:val="22"/>
        </w:rPr>
        <w:t xml:space="preserve"> le plus important</w:t>
      </w:r>
      <w:r>
        <w:rPr>
          <w:rFonts w:ascii="Arial" w:hAnsi="Arial"/>
          <w:sz w:val="22"/>
          <w:szCs w:val="22"/>
        </w:rPr>
        <w:t xml:space="preserve">, et nous </w:t>
      </w:r>
      <w:r w:rsidR="0051103C">
        <w:rPr>
          <w:rFonts w:ascii="Arial" w:hAnsi="Arial"/>
          <w:sz w:val="22"/>
          <w:szCs w:val="22"/>
        </w:rPr>
        <w:t xml:space="preserve">sommes impatients </w:t>
      </w:r>
      <w:r>
        <w:rPr>
          <w:rFonts w:ascii="Arial" w:hAnsi="Arial"/>
          <w:sz w:val="22"/>
          <w:szCs w:val="22"/>
        </w:rPr>
        <w:t>d</w:t>
      </w:r>
      <w:r w:rsidR="000170E9">
        <w:rPr>
          <w:rFonts w:ascii="Arial" w:hAnsi="Arial"/>
          <w:sz w:val="22"/>
          <w:szCs w:val="22"/>
        </w:rPr>
        <w:t>’</w:t>
      </w:r>
      <w:r>
        <w:rPr>
          <w:rFonts w:ascii="Arial" w:hAnsi="Arial"/>
          <w:sz w:val="22"/>
          <w:szCs w:val="22"/>
        </w:rPr>
        <w:t xml:space="preserve">approfondir nos relations avec </w:t>
      </w:r>
      <w:r w:rsidR="0051103C">
        <w:rPr>
          <w:rFonts w:ascii="Arial" w:hAnsi="Arial"/>
          <w:sz w:val="22"/>
          <w:szCs w:val="22"/>
        </w:rPr>
        <w:t xml:space="preserve">lui </w:t>
      </w:r>
      <w:r>
        <w:rPr>
          <w:rFonts w:ascii="Arial" w:hAnsi="Arial"/>
          <w:sz w:val="22"/>
          <w:szCs w:val="22"/>
        </w:rPr>
        <w:t>en tant qu</w:t>
      </w:r>
      <w:r w:rsidR="000170E9">
        <w:rPr>
          <w:rFonts w:ascii="Arial" w:hAnsi="Arial"/>
          <w:sz w:val="22"/>
          <w:szCs w:val="22"/>
        </w:rPr>
        <w:t>’</w:t>
      </w:r>
      <w:r>
        <w:rPr>
          <w:rFonts w:ascii="Arial" w:hAnsi="Arial"/>
          <w:sz w:val="22"/>
          <w:szCs w:val="22"/>
        </w:rPr>
        <w:t xml:space="preserve">actionnaire </w:t>
      </w:r>
      <w:r w:rsidR="00A651FC">
        <w:rPr>
          <w:rFonts w:ascii="Arial" w:hAnsi="Arial"/>
          <w:sz w:val="22"/>
          <w:szCs w:val="22"/>
        </w:rPr>
        <w:t xml:space="preserve">majeur </w:t>
      </w:r>
      <w:r>
        <w:rPr>
          <w:rFonts w:ascii="Arial" w:hAnsi="Arial"/>
          <w:sz w:val="22"/>
          <w:szCs w:val="22"/>
        </w:rPr>
        <w:t xml:space="preserve">de Vulcan et du projet </w:t>
      </w:r>
      <w:proofErr w:type="spellStart"/>
      <w:r>
        <w:rPr>
          <w:rFonts w:ascii="Arial" w:hAnsi="Arial"/>
          <w:sz w:val="22"/>
          <w:szCs w:val="22"/>
        </w:rPr>
        <w:t>Zero</w:t>
      </w:r>
      <w:proofErr w:type="spellEnd"/>
      <w:r>
        <w:rPr>
          <w:rFonts w:ascii="Arial" w:hAnsi="Arial"/>
          <w:sz w:val="22"/>
          <w:szCs w:val="22"/>
        </w:rPr>
        <w:t xml:space="preserve"> Carbon Lithium™. »</w:t>
      </w:r>
    </w:p>
    <w:p w14:paraId="1D5EE7C5" w14:textId="548FB6BA" w:rsidR="005062F7" w:rsidRDefault="00123307" w:rsidP="00DD15FE">
      <w:pPr>
        <w:pBdr>
          <w:top w:val="nil"/>
          <w:left w:val="nil"/>
          <w:bottom w:val="nil"/>
          <w:right w:val="nil"/>
          <w:between w:val="nil"/>
        </w:pBdr>
        <w:rPr>
          <w:rFonts w:ascii="Arial" w:eastAsia="Arial" w:hAnsi="Arial" w:cs="Arial"/>
          <w:color w:val="000000"/>
          <w:sz w:val="22"/>
          <w:szCs w:val="22"/>
        </w:rPr>
      </w:pPr>
      <w:r>
        <w:rPr>
          <w:rFonts w:ascii="Arial" w:hAnsi="Arial"/>
          <w:color w:val="000000"/>
          <w:sz w:val="22"/>
          <w:szCs w:val="22"/>
        </w:rPr>
        <w:t xml:space="preserve">Dans le cadre de son Plan Stratégique </w:t>
      </w:r>
      <w:hyperlink r:id="rId13" w:history="1">
        <w:r>
          <w:rPr>
            <w:rStyle w:val="Hyperlink"/>
            <w:rFonts w:ascii="Arial" w:hAnsi="Arial"/>
            <w:sz w:val="22"/>
            <w:szCs w:val="22"/>
            <w:u w:val="single"/>
          </w:rPr>
          <w:t xml:space="preserve">Dare </w:t>
        </w:r>
        <w:proofErr w:type="spellStart"/>
        <w:r>
          <w:rPr>
            <w:rStyle w:val="Hyperlink"/>
            <w:rFonts w:ascii="Arial" w:hAnsi="Arial"/>
            <w:sz w:val="22"/>
            <w:szCs w:val="22"/>
            <w:u w:val="single"/>
          </w:rPr>
          <w:t>Forward</w:t>
        </w:r>
        <w:proofErr w:type="spellEnd"/>
        <w:r>
          <w:rPr>
            <w:rStyle w:val="Hyperlink"/>
            <w:rFonts w:ascii="Arial" w:hAnsi="Arial"/>
            <w:sz w:val="22"/>
            <w:szCs w:val="22"/>
            <w:u w:val="single"/>
          </w:rPr>
          <w:t> 2030</w:t>
        </w:r>
      </w:hyperlink>
      <w:r>
        <w:rPr>
          <w:rFonts w:ascii="Arial" w:hAnsi="Arial"/>
          <w:color w:val="000000"/>
          <w:sz w:val="22"/>
          <w:szCs w:val="22"/>
        </w:rPr>
        <w:t xml:space="preserve">, Stellantis a annoncé vouloir </w:t>
      </w:r>
      <w:bookmarkStart w:id="0" w:name="_Hlk106355652"/>
      <w:r>
        <w:rPr>
          <w:rFonts w:ascii="Arial" w:hAnsi="Arial"/>
          <w:color w:val="000000"/>
          <w:sz w:val="22"/>
          <w:szCs w:val="22"/>
        </w:rPr>
        <w:t xml:space="preserve">atteindre 100 % de véhicules </w:t>
      </w:r>
      <w:r w:rsidR="00CD3328">
        <w:rPr>
          <w:rFonts w:ascii="Arial" w:hAnsi="Arial"/>
          <w:color w:val="000000"/>
          <w:sz w:val="22"/>
          <w:szCs w:val="22"/>
        </w:rPr>
        <w:t xml:space="preserve">particuliers </w:t>
      </w:r>
      <w:r>
        <w:rPr>
          <w:rFonts w:ascii="Arial" w:hAnsi="Arial"/>
          <w:color w:val="000000"/>
          <w:sz w:val="22"/>
          <w:szCs w:val="22"/>
        </w:rPr>
        <w:t xml:space="preserve">électriques (BEV) vendus en Europe </w:t>
      </w:r>
      <w:bookmarkEnd w:id="0"/>
      <w:r>
        <w:rPr>
          <w:rFonts w:ascii="Arial" w:hAnsi="Arial"/>
          <w:color w:val="000000"/>
          <w:sz w:val="22"/>
          <w:szCs w:val="22"/>
        </w:rPr>
        <w:t xml:space="preserve">et 50 % de véhicules </w:t>
      </w:r>
      <w:r w:rsidR="00CD3328">
        <w:rPr>
          <w:rFonts w:ascii="Arial" w:hAnsi="Arial"/>
          <w:color w:val="000000"/>
          <w:sz w:val="22"/>
          <w:szCs w:val="22"/>
        </w:rPr>
        <w:t>particuliers</w:t>
      </w:r>
      <w:r>
        <w:rPr>
          <w:rFonts w:ascii="Arial" w:hAnsi="Arial"/>
          <w:color w:val="000000"/>
          <w:sz w:val="22"/>
          <w:szCs w:val="22"/>
        </w:rPr>
        <w:t xml:space="preserve"> et de </w:t>
      </w:r>
      <w:proofErr w:type="spellStart"/>
      <w:r w:rsidR="00D74D35">
        <w:rPr>
          <w:rFonts w:ascii="Arial" w:hAnsi="Arial"/>
          <w:color w:val="000000"/>
          <w:sz w:val="22"/>
          <w:szCs w:val="22"/>
        </w:rPr>
        <w:t>pick</w:t>
      </w:r>
      <w:proofErr w:type="spellEnd"/>
      <w:r w:rsidR="00D74D35">
        <w:rPr>
          <w:rFonts w:ascii="Arial" w:hAnsi="Arial"/>
          <w:color w:val="000000"/>
          <w:sz w:val="22"/>
          <w:szCs w:val="22"/>
        </w:rPr>
        <w:t xml:space="preserve"> </w:t>
      </w:r>
      <w:proofErr w:type="spellStart"/>
      <w:r w:rsidR="00D74D35">
        <w:rPr>
          <w:rFonts w:ascii="Arial" w:hAnsi="Arial"/>
          <w:color w:val="000000"/>
          <w:sz w:val="22"/>
          <w:szCs w:val="22"/>
        </w:rPr>
        <w:t>up</w:t>
      </w:r>
      <w:r w:rsidR="003D6BE5">
        <w:rPr>
          <w:rFonts w:ascii="Arial" w:hAnsi="Arial"/>
          <w:color w:val="000000"/>
          <w:sz w:val="22"/>
          <w:szCs w:val="22"/>
        </w:rPr>
        <w:t>s</w:t>
      </w:r>
      <w:proofErr w:type="spellEnd"/>
      <w:r w:rsidR="00D74D35">
        <w:rPr>
          <w:rFonts w:ascii="Arial" w:hAnsi="Arial"/>
          <w:color w:val="000000"/>
          <w:sz w:val="22"/>
          <w:szCs w:val="22"/>
        </w:rPr>
        <w:t xml:space="preserve"> </w:t>
      </w:r>
      <w:r>
        <w:rPr>
          <w:rFonts w:ascii="Arial" w:hAnsi="Arial"/>
          <w:color w:val="000000"/>
          <w:sz w:val="22"/>
          <w:szCs w:val="22"/>
        </w:rPr>
        <w:t>vendus aux États-Unis à l</w:t>
      </w:r>
      <w:r w:rsidR="000170E9">
        <w:rPr>
          <w:rFonts w:ascii="Arial" w:hAnsi="Arial"/>
          <w:color w:val="000000"/>
          <w:sz w:val="22"/>
          <w:szCs w:val="22"/>
        </w:rPr>
        <w:t>’</w:t>
      </w:r>
      <w:r>
        <w:rPr>
          <w:rFonts w:ascii="Arial" w:hAnsi="Arial"/>
          <w:color w:val="000000"/>
          <w:sz w:val="22"/>
          <w:szCs w:val="22"/>
        </w:rPr>
        <w:t xml:space="preserve">horizon 2030. Champion de </w:t>
      </w:r>
      <w:r w:rsidR="00D74D35">
        <w:rPr>
          <w:rFonts w:ascii="Arial" w:hAnsi="Arial"/>
          <w:color w:val="000000"/>
          <w:sz w:val="22"/>
          <w:szCs w:val="22"/>
        </w:rPr>
        <w:t>la lutte contre le</w:t>
      </w:r>
      <w:r>
        <w:rPr>
          <w:rFonts w:ascii="Arial" w:hAnsi="Arial"/>
          <w:color w:val="000000"/>
          <w:sz w:val="22"/>
          <w:szCs w:val="22"/>
        </w:rPr>
        <w:t xml:space="preserve"> changement climatique dans le secteur automobile, Stellantis compte atteindre une empreinte carbone neutre à l</w:t>
      </w:r>
      <w:r w:rsidR="000170E9">
        <w:rPr>
          <w:rFonts w:ascii="Arial" w:hAnsi="Arial"/>
          <w:color w:val="000000"/>
          <w:sz w:val="22"/>
          <w:szCs w:val="22"/>
        </w:rPr>
        <w:t>’</w:t>
      </w:r>
      <w:r>
        <w:rPr>
          <w:rFonts w:ascii="Arial" w:hAnsi="Arial"/>
          <w:color w:val="000000"/>
          <w:sz w:val="22"/>
          <w:szCs w:val="22"/>
        </w:rPr>
        <w:t>horizon 2038, avec 50 % d</w:t>
      </w:r>
      <w:r w:rsidR="000170E9">
        <w:rPr>
          <w:rFonts w:ascii="Arial" w:hAnsi="Arial"/>
          <w:color w:val="000000"/>
          <w:sz w:val="22"/>
          <w:szCs w:val="22"/>
        </w:rPr>
        <w:t>’</w:t>
      </w:r>
      <w:r>
        <w:rPr>
          <w:rFonts w:ascii="Arial" w:hAnsi="Arial"/>
          <w:color w:val="000000"/>
          <w:sz w:val="22"/>
          <w:szCs w:val="22"/>
        </w:rPr>
        <w:t>émissions polluantes en moins d</w:t>
      </w:r>
      <w:r w:rsidR="000170E9">
        <w:rPr>
          <w:rFonts w:ascii="Arial" w:hAnsi="Arial"/>
          <w:color w:val="000000"/>
          <w:sz w:val="22"/>
          <w:szCs w:val="22"/>
        </w:rPr>
        <w:t>’</w:t>
      </w:r>
      <w:r>
        <w:rPr>
          <w:rFonts w:ascii="Arial" w:hAnsi="Arial"/>
          <w:color w:val="000000"/>
          <w:sz w:val="22"/>
          <w:szCs w:val="22"/>
        </w:rPr>
        <w:t xml:space="preserve">ici 2030. </w:t>
      </w:r>
    </w:p>
    <w:p w14:paraId="48503932" w14:textId="1310D914" w:rsidR="00C818B8" w:rsidRPr="00172B2C" w:rsidRDefault="00C818B8" w:rsidP="00DD15FE">
      <w:pPr>
        <w:pBdr>
          <w:top w:val="nil"/>
          <w:left w:val="nil"/>
          <w:bottom w:val="nil"/>
          <w:right w:val="nil"/>
          <w:between w:val="nil"/>
        </w:pBdr>
        <w:rPr>
          <w:rFonts w:ascii="Arial" w:eastAsia="Arial" w:hAnsi="Arial" w:cs="Arial"/>
          <w:color w:val="000000"/>
          <w:sz w:val="22"/>
          <w:szCs w:val="22"/>
        </w:rPr>
      </w:pPr>
      <w:r>
        <w:rPr>
          <w:rFonts w:ascii="Arial" w:hAnsi="Arial"/>
          <w:sz w:val="22"/>
          <w:szCs w:val="22"/>
        </w:rPr>
        <w:lastRenderedPageBreak/>
        <w:t xml:space="preserve">Stellantis a récemment annoncé </w:t>
      </w:r>
      <w:r w:rsidR="00CD3328">
        <w:rPr>
          <w:rFonts w:ascii="Arial" w:hAnsi="Arial"/>
          <w:sz w:val="22"/>
          <w:szCs w:val="22"/>
        </w:rPr>
        <w:t xml:space="preserve">un </w:t>
      </w:r>
      <w:hyperlink r:id="rId14" w:history="1">
        <w:r>
          <w:rPr>
            <w:rStyle w:val="Hyperlink"/>
            <w:rFonts w:ascii="Arial" w:hAnsi="Arial"/>
            <w:sz w:val="22"/>
            <w:szCs w:val="22"/>
            <w:u w:val="single"/>
          </w:rPr>
          <w:t>accord d</w:t>
        </w:r>
        <w:r w:rsidR="000170E9">
          <w:rPr>
            <w:rStyle w:val="Hyperlink"/>
            <w:rFonts w:ascii="Arial" w:hAnsi="Arial"/>
            <w:sz w:val="22"/>
            <w:szCs w:val="22"/>
            <w:u w:val="single"/>
          </w:rPr>
          <w:t>’</w:t>
        </w:r>
        <w:r>
          <w:rPr>
            <w:rStyle w:val="Hyperlink"/>
            <w:rFonts w:ascii="Arial" w:hAnsi="Arial"/>
            <w:sz w:val="22"/>
            <w:szCs w:val="22"/>
            <w:u w:val="single"/>
          </w:rPr>
          <w:t>approvisionnement en hydroxyde de lithium pour l</w:t>
        </w:r>
        <w:r w:rsidR="000170E9">
          <w:rPr>
            <w:rStyle w:val="Hyperlink"/>
            <w:rFonts w:ascii="Arial" w:hAnsi="Arial"/>
            <w:sz w:val="22"/>
            <w:szCs w:val="22"/>
            <w:u w:val="single"/>
          </w:rPr>
          <w:t>’</w:t>
        </w:r>
        <w:r>
          <w:rPr>
            <w:rStyle w:val="Hyperlink"/>
            <w:rFonts w:ascii="Arial" w:hAnsi="Arial"/>
            <w:sz w:val="22"/>
            <w:szCs w:val="22"/>
            <w:u w:val="single"/>
          </w:rPr>
          <w:t>Amérique du Nord</w:t>
        </w:r>
      </w:hyperlink>
      <w:r>
        <w:rPr>
          <w:rFonts w:ascii="Arial" w:hAnsi="Arial"/>
          <w:sz w:val="22"/>
          <w:szCs w:val="22"/>
        </w:rPr>
        <w:t xml:space="preserve">. </w:t>
      </w:r>
    </w:p>
    <w:p w14:paraId="2E5CA74B" w14:textId="7BECE320" w:rsidR="007F0624" w:rsidRPr="00A976CF" w:rsidRDefault="007F0624" w:rsidP="007F0624">
      <w:pPr>
        <w:jc w:val="center"/>
        <w:rPr>
          <w:rFonts w:ascii="Arial" w:eastAsia="Encode Sans" w:hAnsi="Arial" w:cs="Arial"/>
          <w:sz w:val="22"/>
          <w:szCs w:val="22"/>
        </w:rPr>
      </w:pPr>
      <w:r>
        <w:rPr>
          <w:rFonts w:ascii="Arial" w:hAnsi="Arial"/>
          <w:sz w:val="22"/>
          <w:szCs w:val="22"/>
        </w:rPr>
        <w:t># # #</w:t>
      </w:r>
    </w:p>
    <w:p w14:paraId="46D4EF33" w14:textId="77777777" w:rsidR="00211BDA" w:rsidRPr="00211BDA" w:rsidRDefault="00211BDA" w:rsidP="00E653B0">
      <w:pPr>
        <w:spacing w:after="0"/>
        <w:rPr>
          <w:rFonts w:ascii="Arial" w:eastAsia="Times New Roman" w:hAnsi="Arial" w:cs="Arial"/>
          <w:b/>
          <w:bCs/>
          <w:sz w:val="20"/>
          <w:szCs w:val="16"/>
        </w:rPr>
      </w:pPr>
      <w:bookmarkStart w:id="1" w:name="_Hlk106354158"/>
      <w:r>
        <w:rPr>
          <w:rFonts w:ascii="Arial" w:hAnsi="Arial"/>
          <w:b/>
          <w:bCs/>
          <w:sz w:val="20"/>
          <w:szCs w:val="16"/>
        </w:rPr>
        <w:t>À propos de Stellantis</w:t>
      </w:r>
    </w:p>
    <w:p w14:paraId="71E955B6" w14:textId="243246FF" w:rsidR="00211BDA" w:rsidRPr="00211BDA" w:rsidRDefault="003A105E">
      <w:pPr>
        <w:spacing w:after="0"/>
        <w:rPr>
          <w:rFonts w:ascii="Arial" w:eastAsia="Times New Roman" w:hAnsi="Arial" w:cs="Arial"/>
          <w:sz w:val="20"/>
          <w:szCs w:val="16"/>
        </w:rPr>
      </w:pPr>
      <w:r w:rsidRPr="003A105E">
        <w:rPr>
          <w:rFonts w:ascii="Arial" w:hAnsi="Arial"/>
          <w:sz w:val="20"/>
          <w:szCs w:val="16"/>
        </w:rPr>
        <w:t xml:space="preserve">Stellantis N.V. (NYSE / MTA / Euronext Paris : STLA) fait partie des principaux constructeurs automobiles et fournisseurs de services de mobilité internationaux. </w:t>
      </w:r>
      <w:proofErr w:type="spellStart"/>
      <w:r w:rsidRPr="003A105E">
        <w:rPr>
          <w:rFonts w:ascii="Arial" w:hAnsi="Arial"/>
          <w:sz w:val="20"/>
          <w:szCs w:val="16"/>
        </w:rPr>
        <w:t>Abarth</w:t>
      </w:r>
      <w:proofErr w:type="spellEnd"/>
      <w:r w:rsidRPr="003A105E">
        <w:rPr>
          <w:rFonts w:ascii="Arial" w:hAnsi="Arial"/>
          <w:sz w:val="20"/>
          <w:szCs w:val="16"/>
        </w:rPr>
        <w:t xml:space="preserve">, Alfa Romeo, Chrysler, Citroën, Dodge, DS Automobiles, Fiat, Jeep®, Lancia, Maserati, Opel, Peugeot, Ram, Vauxhall, Free2move et </w:t>
      </w:r>
      <w:proofErr w:type="spellStart"/>
      <w:r w:rsidRPr="003A105E">
        <w:rPr>
          <w:rFonts w:ascii="Arial" w:hAnsi="Arial"/>
          <w:sz w:val="20"/>
          <w:szCs w:val="16"/>
        </w:rPr>
        <w:t>Leasys</w:t>
      </w:r>
      <w:proofErr w:type="spellEnd"/>
      <w:r w:rsidRPr="003A105E">
        <w:rPr>
          <w:rFonts w:ascii="Arial" w:hAnsi="Arial"/>
          <w:sz w:val="20"/>
          <w:szCs w:val="16"/>
        </w:rPr>
        <w:t xml:space="preserve"> : emblématiques et chargées d</w:t>
      </w:r>
      <w:r w:rsidR="000170E9">
        <w:rPr>
          <w:rFonts w:ascii="Arial" w:hAnsi="Arial"/>
          <w:sz w:val="20"/>
          <w:szCs w:val="16"/>
        </w:rPr>
        <w:t>’</w:t>
      </w:r>
      <w:r w:rsidRPr="003A105E">
        <w:rPr>
          <w:rFonts w:ascii="Arial" w:hAnsi="Arial"/>
          <w:sz w:val="20"/>
          <w:szCs w:val="16"/>
        </w:rPr>
        <w:t xml:space="preserve">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sidRPr="003A105E">
        <w:rPr>
          <w:rFonts w:ascii="Arial" w:hAnsi="Arial"/>
          <w:sz w:val="20"/>
          <w:szCs w:val="16"/>
        </w:rPr>
        <w:t>company</w:t>
      </w:r>
      <w:proofErr w:type="spellEnd"/>
      <w:r w:rsidRPr="003A105E">
        <w:rPr>
          <w:rFonts w:ascii="Arial" w:hAnsi="Arial"/>
          <w:sz w:val="20"/>
          <w:szCs w:val="16"/>
        </w:rPr>
        <w:t xml:space="preserve"> de mobilité durable, en termes de qualité et non de taille, tout en créant encore plus de valeur pour l</w:t>
      </w:r>
      <w:r w:rsidR="000170E9">
        <w:rPr>
          <w:rFonts w:ascii="Arial" w:hAnsi="Arial"/>
          <w:sz w:val="20"/>
          <w:szCs w:val="16"/>
        </w:rPr>
        <w:t>’</w:t>
      </w:r>
      <w:r w:rsidRPr="003A105E">
        <w:rPr>
          <w:rFonts w:ascii="Arial" w:hAnsi="Arial"/>
          <w:sz w:val="20"/>
          <w:szCs w:val="16"/>
        </w:rPr>
        <w:t xml:space="preserve">ensemble de nos partenaires et des communautés au sein desquelles nous opérons. Pour en savoir plus, </w:t>
      </w:r>
      <w:hyperlink r:id="rId15" w:history="1">
        <w:r w:rsidRPr="003D6BE5">
          <w:rPr>
            <w:rStyle w:val="Hyperlink"/>
            <w:rFonts w:ascii="Arial" w:hAnsi="Arial"/>
            <w:sz w:val="20"/>
            <w:szCs w:val="16"/>
          </w:rPr>
          <w:t>www.stellantis.com/fr</w:t>
        </w:r>
      </w:hyperlink>
    </w:p>
    <w:bookmarkEnd w:id="1"/>
    <w:p w14:paraId="4B1252EB" w14:textId="77777777" w:rsidR="009D782E" w:rsidRPr="007F0624" w:rsidRDefault="009D782E">
      <w:pPr>
        <w:pBdr>
          <w:top w:val="nil"/>
          <w:left w:val="nil"/>
          <w:bottom w:val="nil"/>
          <w:right w:val="nil"/>
          <w:between w:val="nil"/>
        </w:pBdr>
        <w:spacing w:after="0"/>
        <w:jc w:val="left"/>
        <w:rPr>
          <w:rFonts w:ascii="Arial" w:eastAsia="Arial" w:hAnsi="Arial" w:cs="Arial"/>
          <w:i/>
          <w:color w:val="000000"/>
          <w:sz w:val="22"/>
          <w:szCs w:val="22"/>
        </w:rPr>
      </w:pPr>
    </w:p>
    <w:p w14:paraId="454AE94A" w14:textId="2BC77F47" w:rsidR="009D782E" w:rsidRPr="00914E09" w:rsidRDefault="009D782E">
      <w:pPr>
        <w:pBdr>
          <w:top w:val="nil"/>
          <w:left w:val="nil"/>
          <w:bottom w:val="nil"/>
          <w:right w:val="nil"/>
          <w:between w:val="nil"/>
        </w:pBdr>
        <w:spacing w:after="0"/>
        <w:jc w:val="left"/>
        <w:rPr>
          <w:rFonts w:ascii="Arial" w:eastAsia="Arial" w:hAnsi="Arial" w:cs="Arial"/>
          <w:color w:val="000000"/>
          <w:sz w:val="20"/>
          <w:szCs w:val="20"/>
        </w:rPr>
      </w:pPr>
      <w:bookmarkStart w:id="2" w:name="_heading=h.gjdgxs"/>
      <w:bookmarkEnd w:id="2"/>
      <w:r>
        <w:rPr>
          <w:rFonts w:ascii="Arial" w:hAnsi="Arial"/>
          <w:b/>
          <w:color w:val="000000"/>
          <w:sz w:val="20"/>
          <w:szCs w:val="20"/>
        </w:rPr>
        <w:t>À propos de Vulcan</w:t>
      </w:r>
    </w:p>
    <w:p w14:paraId="3E3FFB40" w14:textId="2160EB7C" w:rsidR="00D90200" w:rsidRDefault="003A105E" w:rsidP="00151FE1">
      <w:pPr>
        <w:spacing w:after="0"/>
        <w:rPr>
          <w:b/>
          <w:i/>
          <w:sz w:val="16"/>
          <w:szCs w:val="16"/>
        </w:rPr>
      </w:pPr>
      <w:r w:rsidRPr="003A105E">
        <w:rPr>
          <w:rFonts w:ascii="Arial" w:hAnsi="Arial"/>
          <w:sz w:val="20"/>
          <w:szCs w:val="20"/>
          <w:shd w:val="clear" w:color="auto" w:fill="FFFFFF"/>
        </w:rPr>
        <w:t>Vulcan a pour objectif de devenir le premier producteur de lithium au monde dont les émissions nettes de gaz à effet de serre sont nulles. Son projet ZERO CARBON LITHIUM™ vise à produire un produit chimique à base d</w:t>
      </w:r>
      <w:r w:rsidR="000170E9">
        <w:rPr>
          <w:rFonts w:ascii="Arial" w:hAnsi="Arial"/>
          <w:sz w:val="20"/>
          <w:szCs w:val="20"/>
          <w:shd w:val="clear" w:color="auto" w:fill="FFFFFF"/>
        </w:rPr>
        <w:t>’</w:t>
      </w:r>
      <w:r w:rsidRPr="003A105E">
        <w:rPr>
          <w:rFonts w:ascii="Arial" w:hAnsi="Arial"/>
          <w:sz w:val="20"/>
          <w:szCs w:val="20"/>
          <w:shd w:val="clear" w:color="auto" w:fill="FFFFFF"/>
        </w:rPr>
        <w:t>hydroxyde de lithium de qualité pile à partir de sa ressource combinée d</w:t>
      </w:r>
      <w:r w:rsidR="000170E9">
        <w:rPr>
          <w:rFonts w:ascii="Arial" w:hAnsi="Arial"/>
          <w:sz w:val="20"/>
          <w:szCs w:val="20"/>
          <w:shd w:val="clear" w:color="auto" w:fill="FFFFFF"/>
        </w:rPr>
        <w:t>’</w:t>
      </w:r>
      <w:r w:rsidRPr="003A105E">
        <w:rPr>
          <w:rFonts w:ascii="Arial" w:hAnsi="Arial"/>
          <w:sz w:val="20"/>
          <w:szCs w:val="20"/>
          <w:shd w:val="clear" w:color="auto" w:fill="FFFFFF"/>
        </w:rPr>
        <w:t>énergie géothermique et de lithium, qui est la plus grande ressource de lithium d</w:t>
      </w:r>
      <w:r w:rsidR="000170E9">
        <w:rPr>
          <w:rFonts w:ascii="Arial" w:hAnsi="Arial"/>
          <w:sz w:val="20"/>
          <w:szCs w:val="20"/>
          <w:shd w:val="clear" w:color="auto" w:fill="FFFFFF"/>
        </w:rPr>
        <w:t>’</w:t>
      </w:r>
      <w:r w:rsidRPr="003A105E">
        <w:rPr>
          <w:rFonts w:ascii="Arial" w:hAnsi="Arial"/>
          <w:sz w:val="20"/>
          <w:szCs w:val="20"/>
          <w:shd w:val="clear" w:color="auto" w:fill="FFFFFF"/>
        </w:rPr>
        <w:t>Europe, en Allemagne. Le projet unique de Vulcan, ZERO CARBON LITHIUM™, vise à produire à la fois de l</w:t>
      </w:r>
      <w:r w:rsidR="000170E9">
        <w:rPr>
          <w:rFonts w:ascii="Arial" w:hAnsi="Arial"/>
          <w:sz w:val="20"/>
          <w:szCs w:val="20"/>
          <w:shd w:val="clear" w:color="auto" w:fill="FFFFFF"/>
        </w:rPr>
        <w:t>’</w:t>
      </w:r>
      <w:r w:rsidRPr="003A105E">
        <w:rPr>
          <w:rFonts w:ascii="Arial" w:hAnsi="Arial"/>
          <w:sz w:val="20"/>
          <w:szCs w:val="20"/>
          <w:shd w:val="clear" w:color="auto" w:fill="FFFFFF"/>
        </w:rPr>
        <w:t>énergie géothermique renouvelable et de l</w:t>
      </w:r>
      <w:r w:rsidR="000170E9">
        <w:rPr>
          <w:rFonts w:ascii="Arial" w:hAnsi="Arial"/>
          <w:sz w:val="20"/>
          <w:szCs w:val="20"/>
          <w:shd w:val="clear" w:color="auto" w:fill="FFFFFF"/>
        </w:rPr>
        <w:t>’</w:t>
      </w:r>
      <w:r w:rsidRPr="003A105E">
        <w:rPr>
          <w:rFonts w:ascii="Arial" w:hAnsi="Arial"/>
          <w:sz w:val="20"/>
          <w:szCs w:val="20"/>
          <w:shd w:val="clear" w:color="auto" w:fill="FFFFFF"/>
        </w:rPr>
        <w:t>hydroxyde de lithium à partir de la même source de saumure profonde. Ce faisant, Vulcan entend répondre aux exigences du marché européen du lithium en réduisant l</w:t>
      </w:r>
      <w:r w:rsidR="000170E9">
        <w:rPr>
          <w:rFonts w:ascii="Arial" w:hAnsi="Arial"/>
          <w:sz w:val="20"/>
          <w:szCs w:val="20"/>
          <w:shd w:val="clear" w:color="auto" w:fill="FFFFFF"/>
        </w:rPr>
        <w:t>’</w:t>
      </w:r>
      <w:r w:rsidRPr="003A105E">
        <w:rPr>
          <w:rFonts w:ascii="Arial" w:hAnsi="Arial"/>
          <w:sz w:val="20"/>
          <w:szCs w:val="20"/>
          <w:shd w:val="clear" w:color="auto" w:fill="FFFFFF"/>
        </w:rPr>
        <w:t xml:space="preserve">empreinte carbone et eau élevée de la production et la dépendance totale aux importations. Vulcan vise à approvisionner le marché des batteries lithium-ion et des véhicules électriques en Europe, dont la croissance est la plus rapide au monde. Le projet Vulcan </w:t>
      </w:r>
      <w:proofErr w:type="spellStart"/>
      <w:r w:rsidRPr="003A105E">
        <w:rPr>
          <w:rFonts w:ascii="Arial" w:hAnsi="Arial"/>
          <w:sz w:val="20"/>
          <w:szCs w:val="20"/>
          <w:shd w:val="clear" w:color="auto" w:fill="FFFFFF"/>
        </w:rPr>
        <w:t>Zero</w:t>
      </w:r>
      <w:proofErr w:type="spellEnd"/>
      <w:r w:rsidRPr="003A105E">
        <w:rPr>
          <w:rFonts w:ascii="Arial" w:hAnsi="Arial"/>
          <w:sz w:val="20"/>
          <w:szCs w:val="20"/>
          <w:shd w:val="clear" w:color="auto" w:fill="FFFFFF"/>
        </w:rPr>
        <w:t xml:space="preserve"> Carbon Lithium™ dispose d</w:t>
      </w:r>
      <w:r w:rsidR="000170E9">
        <w:rPr>
          <w:rFonts w:ascii="Arial" w:hAnsi="Arial"/>
          <w:sz w:val="20"/>
          <w:szCs w:val="20"/>
          <w:shd w:val="clear" w:color="auto" w:fill="FFFFFF"/>
        </w:rPr>
        <w:t>’</w:t>
      </w:r>
      <w:r w:rsidRPr="003A105E">
        <w:rPr>
          <w:rFonts w:ascii="Arial" w:hAnsi="Arial"/>
          <w:sz w:val="20"/>
          <w:szCs w:val="20"/>
          <w:shd w:val="clear" w:color="auto" w:fill="FFFFFF"/>
        </w:rPr>
        <w:t>une ressource qui peut satisfaire les besoins de l</w:t>
      </w:r>
      <w:r w:rsidR="000170E9">
        <w:rPr>
          <w:rFonts w:ascii="Arial" w:hAnsi="Arial"/>
          <w:sz w:val="20"/>
          <w:szCs w:val="20"/>
          <w:shd w:val="clear" w:color="auto" w:fill="FFFFFF"/>
        </w:rPr>
        <w:t>’</w:t>
      </w:r>
      <w:r w:rsidRPr="003A105E">
        <w:rPr>
          <w:rFonts w:ascii="Arial" w:hAnsi="Arial"/>
          <w:sz w:val="20"/>
          <w:szCs w:val="20"/>
          <w:shd w:val="clear" w:color="auto" w:fill="FFFFFF"/>
        </w:rPr>
        <w:t>Europe pour la transition vers les véhicules électriques, à partir d</w:t>
      </w:r>
      <w:r w:rsidR="000170E9">
        <w:rPr>
          <w:rFonts w:ascii="Arial" w:hAnsi="Arial"/>
          <w:sz w:val="20"/>
          <w:szCs w:val="20"/>
          <w:shd w:val="clear" w:color="auto" w:fill="FFFFFF"/>
        </w:rPr>
        <w:t>’</w:t>
      </w:r>
      <w:r w:rsidRPr="003A105E">
        <w:rPr>
          <w:rFonts w:ascii="Arial" w:hAnsi="Arial"/>
          <w:sz w:val="20"/>
          <w:szCs w:val="20"/>
          <w:shd w:val="clear" w:color="auto" w:fill="FFFFFF"/>
        </w:rPr>
        <w:t>une source dont les émissions nettes de gaz à effet de serre sont nulles, et ce pour de nombreuses années.</w:t>
      </w:r>
    </w:p>
    <w:p w14:paraId="295F216C" w14:textId="77777777" w:rsidR="00DF61C4" w:rsidRDefault="00DF61C4">
      <w:pPr>
        <w:spacing w:after="0"/>
        <w:jc w:val="left"/>
        <w:rPr>
          <w:b/>
          <w:i/>
          <w:sz w:val="16"/>
          <w:szCs w:val="16"/>
        </w:rPr>
      </w:pPr>
    </w:p>
    <w:p w14:paraId="09667F5E" w14:textId="77777777" w:rsidR="00211BDA" w:rsidRPr="0025678C" w:rsidRDefault="00211BDA" w:rsidP="00211BDA">
      <w:pPr>
        <w:spacing w:after="0"/>
        <w:rPr>
          <w:rFonts w:ascii="Arial" w:eastAsia="Arial" w:hAnsi="Arial" w:cs="Arial"/>
          <w:b/>
          <w:sz w:val="22"/>
          <w:szCs w:val="22"/>
        </w:rPr>
      </w:pPr>
      <w:r>
        <w:rPr>
          <w:rFonts w:ascii="Arial" w:hAnsi="Arial"/>
          <w:b/>
          <w:sz w:val="22"/>
          <w:szCs w:val="22"/>
        </w:rPr>
        <w:t>Contacts :</w:t>
      </w:r>
    </w:p>
    <w:p w14:paraId="3C30E1AF" w14:textId="77777777" w:rsidR="00211BDA" w:rsidRPr="0025678C" w:rsidRDefault="00211BDA" w:rsidP="00211BDA">
      <w:pPr>
        <w:spacing w:after="0"/>
        <w:rPr>
          <w:rFonts w:ascii="Arial" w:eastAsiaTheme="minorEastAsia" w:hAnsi="Arial" w:cs="Arial"/>
          <w:sz w:val="18"/>
          <w:szCs w:val="18"/>
        </w:rPr>
      </w:pPr>
    </w:p>
    <w:p w14:paraId="7ED2C733" w14:textId="77777777" w:rsidR="00211BDA" w:rsidRPr="0025678C" w:rsidRDefault="00211BDA" w:rsidP="00211BDA">
      <w:pPr>
        <w:spacing w:after="0"/>
        <w:rPr>
          <w:rFonts w:ascii="Arial" w:hAnsi="Arial" w:cs="Arial"/>
          <w:b/>
          <w:bCs/>
          <w:sz w:val="20"/>
          <w:szCs w:val="16"/>
        </w:rPr>
      </w:pPr>
      <w:r>
        <w:rPr>
          <w:rFonts w:ascii="Arial" w:hAnsi="Arial"/>
          <w:b/>
          <w:bCs/>
          <w:sz w:val="20"/>
          <w:szCs w:val="16"/>
        </w:rPr>
        <w:t>Stellantis</w:t>
      </w:r>
    </w:p>
    <w:p w14:paraId="7730F5DF" w14:textId="77777777" w:rsidR="00211BDA" w:rsidRPr="0025678C" w:rsidRDefault="00211BDA" w:rsidP="00211BDA">
      <w:pPr>
        <w:spacing w:after="0"/>
        <w:rPr>
          <w:rFonts w:ascii="Arial" w:hAnsi="Arial" w:cs="Arial"/>
          <w:sz w:val="20"/>
          <w:szCs w:val="16"/>
        </w:rPr>
      </w:pPr>
    </w:p>
    <w:p w14:paraId="2C556014" w14:textId="77777777" w:rsidR="00211BDA" w:rsidRPr="0025678C" w:rsidRDefault="00211BDA" w:rsidP="00211BDA">
      <w:pPr>
        <w:tabs>
          <w:tab w:val="left" w:pos="2592"/>
        </w:tabs>
        <w:spacing w:after="0"/>
        <w:rPr>
          <w:rFonts w:ascii="Arial" w:eastAsia="Arial" w:hAnsi="Arial" w:cs="Arial"/>
          <w:b/>
          <w:bCs/>
          <w:sz w:val="20"/>
          <w:szCs w:val="16"/>
        </w:rPr>
      </w:pPr>
      <w:proofErr w:type="spellStart"/>
      <w:r>
        <w:rPr>
          <w:rFonts w:ascii="Arial" w:hAnsi="Arial"/>
          <w:b/>
          <w:bCs/>
          <w:sz w:val="20"/>
          <w:szCs w:val="16"/>
        </w:rPr>
        <w:t>Fernão</w:t>
      </w:r>
      <w:proofErr w:type="spellEnd"/>
      <w:r>
        <w:rPr>
          <w:rFonts w:ascii="Arial" w:hAnsi="Arial"/>
          <w:b/>
          <w:bCs/>
          <w:sz w:val="20"/>
          <w:szCs w:val="16"/>
        </w:rPr>
        <w:t xml:space="preserve"> Silveira </w:t>
      </w:r>
    </w:p>
    <w:p w14:paraId="6253A0AD" w14:textId="77777777" w:rsidR="00211BDA" w:rsidRPr="0025678C" w:rsidRDefault="00211BDA" w:rsidP="00211BDA">
      <w:pPr>
        <w:tabs>
          <w:tab w:val="left" w:pos="2592"/>
        </w:tabs>
        <w:spacing w:after="0"/>
        <w:rPr>
          <w:rFonts w:ascii="Arial" w:eastAsia="Arial" w:hAnsi="Arial" w:cs="Arial"/>
          <w:sz w:val="20"/>
          <w:szCs w:val="16"/>
        </w:rPr>
      </w:pPr>
      <w:r>
        <w:rPr>
          <w:rFonts w:ascii="Arial" w:hAnsi="Arial"/>
          <w:sz w:val="20"/>
          <w:szCs w:val="16"/>
        </w:rPr>
        <w:t>Global Communications / Stellantis</w:t>
      </w:r>
    </w:p>
    <w:p w14:paraId="3D47FCA4" w14:textId="77777777" w:rsidR="00211BDA" w:rsidRPr="00F01B5A" w:rsidRDefault="00211BDA" w:rsidP="00211BDA">
      <w:pPr>
        <w:tabs>
          <w:tab w:val="left" w:pos="2592"/>
        </w:tabs>
        <w:spacing w:after="0"/>
        <w:rPr>
          <w:rFonts w:ascii="Arial" w:eastAsia="Arial" w:hAnsi="Arial" w:cs="Arial"/>
          <w:sz w:val="20"/>
          <w:szCs w:val="16"/>
          <w:lang w:val="en-US"/>
        </w:rPr>
      </w:pPr>
      <w:r w:rsidRPr="00F01B5A">
        <w:rPr>
          <w:rFonts w:ascii="Arial" w:hAnsi="Arial"/>
          <w:sz w:val="20"/>
          <w:szCs w:val="16"/>
          <w:lang w:val="en-US"/>
        </w:rPr>
        <w:t xml:space="preserve">fernao.silveira@stellantis.com </w:t>
      </w:r>
    </w:p>
    <w:p w14:paraId="0DB3F9B8" w14:textId="77777777" w:rsidR="00211BDA" w:rsidRPr="00F01B5A" w:rsidRDefault="00211BDA" w:rsidP="00211BDA">
      <w:pPr>
        <w:tabs>
          <w:tab w:val="left" w:pos="2592"/>
        </w:tabs>
        <w:spacing w:after="0"/>
        <w:rPr>
          <w:rFonts w:ascii="Arial" w:eastAsia="Arial" w:hAnsi="Arial" w:cs="Arial"/>
          <w:sz w:val="20"/>
          <w:szCs w:val="16"/>
          <w:lang w:val="en-US"/>
        </w:rPr>
      </w:pPr>
      <w:r w:rsidRPr="00F01B5A">
        <w:rPr>
          <w:rFonts w:ascii="Arial" w:hAnsi="Arial"/>
          <w:sz w:val="20"/>
          <w:szCs w:val="16"/>
          <w:lang w:val="en-US"/>
        </w:rPr>
        <w:t>+31 6 43 25 43 41</w:t>
      </w:r>
    </w:p>
    <w:p w14:paraId="4C7FCF06" w14:textId="77777777" w:rsidR="00211BDA" w:rsidRPr="00F01B5A" w:rsidRDefault="00211BDA" w:rsidP="00211BDA">
      <w:pPr>
        <w:tabs>
          <w:tab w:val="left" w:pos="2592"/>
        </w:tabs>
        <w:spacing w:after="0"/>
        <w:rPr>
          <w:rFonts w:ascii="Arial" w:eastAsia="Arial" w:hAnsi="Arial" w:cs="Arial"/>
          <w:sz w:val="20"/>
          <w:szCs w:val="16"/>
          <w:lang w:val="en-US"/>
        </w:rPr>
      </w:pPr>
    </w:p>
    <w:p w14:paraId="5E360872" w14:textId="628B313E" w:rsidR="00211BDA" w:rsidRPr="00F01B5A" w:rsidRDefault="005062F7" w:rsidP="00211BDA">
      <w:pPr>
        <w:tabs>
          <w:tab w:val="left" w:pos="2592"/>
        </w:tabs>
        <w:spacing w:after="0"/>
        <w:rPr>
          <w:rFonts w:ascii="Arial" w:eastAsia="Arial" w:hAnsi="Arial" w:cs="Arial"/>
          <w:b/>
          <w:bCs/>
          <w:sz w:val="20"/>
          <w:szCs w:val="16"/>
          <w:lang w:val="en-US"/>
        </w:rPr>
      </w:pPr>
      <w:r w:rsidRPr="00F01B5A">
        <w:rPr>
          <w:rFonts w:ascii="Arial" w:hAnsi="Arial"/>
          <w:b/>
          <w:bCs/>
          <w:sz w:val="20"/>
          <w:szCs w:val="16"/>
          <w:lang w:val="en-US"/>
        </w:rPr>
        <w:t>Andrea Pallard</w:t>
      </w:r>
    </w:p>
    <w:p w14:paraId="59EEF380" w14:textId="4282B554" w:rsidR="00211BDA" w:rsidRPr="00F01B5A" w:rsidRDefault="005062F7" w:rsidP="00211BDA">
      <w:pPr>
        <w:tabs>
          <w:tab w:val="left" w:pos="2592"/>
        </w:tabs>
        <w:spacing w:after="0"/>
        <w:rPr>
          <w:rFonts w:ascii="Arial" w:eastAsia="Arial" w:hAnsi="Arial" w:cs="Arial"/>
          <w:sz w:val="20"/>
          <w:szCs w:val="16"/>
          <w:lang w:val="en-US"/>
        </w:rPr>
      </w:pPr>
      <w:r w:rsidRPr="00F01B5A">
        <w:rPr>
          <w:rFonts w:ascii="Arial" w:hAnsi="Arial"/>
          <w:sz w:val="20"/>
          <w:szCs w:val="16"/>
          <w:lang w:val="en-US"/>
        </w:rPr>
        <w:t>Enlarged Europe Communications / Stellantis</w:t>
      </w:r>
    </w:p>
    <w:p w14:paraId="3F005988" w14:textId="64DE5E41" w:rsidR="00211BDA" w:rsidRPr="00F01B5A" w:rsidRDefault="005062F7" w:rsidP="00211BDA">
      <w:pPr>
        <w:tabs>
          <w:tab w:val="left" w:pos="2592"/>
        </w:tabs>
        <w:spacing w:after="0"/>
        <w:rPr>
          <w:rFonts w:ascii="Arial" w:eastAsia="Arial" w:hAnsi="Arial" w:cs="Arial"/>
          <w:sz w:val="20"/>
          <w:szCs w:val="16"/>
          <w:lang w:val="en-US"/>
        </w:rPr>
      </w:pPr>
      <w:r w:rsidRPr="00F01B5A">
        <w:rPr>
          <w:rFonts w:ascii="Arial" w:hAnsi="Arial"/>
          <w:sz w:val="20"/>
          <w:szCs w:val="16"/>
          <w:lang w:val="en-US"/>
        </w:rPr>
        <w:t>andrea.pallard@stellantis.com</w:t>
      </w:r>
    </w:p>
    <w:p w14:paraId="5EB10C58" w14:textId="22BE6E96" w:rsidR="00C00E9B" w:rsidRPr="00F01B5A" w:rsidRDefault="005062F7" w:rsidP="00211BDA">
      <w:pPr>
        <w:tabs>
          <w:tab w:val="left" w:pos="2592"/>
        </w:tabs>
        <w:spacing w:after="0"/>
        <w:rPr>
          <w:rFonts w:ascii="Arial" w:eastAsia="Arial" w:hAnsi="Arial" w:cs="Arial"/>
          <w:sz w:val="20"/>
          <w:szCs w:val="16"/>
          <w:lang w:val="en-US"/>
        </w:rPr>
      </w:pPr>
      <w:r w:rsidRPr="00F01B5A">
        <w:rPr>
          <w:rFonts w:ascii="Arial" w:hAnsi="Arial"/>
          <w:sz w:val="20"/>
          <w:szCs w:val="16"/>
          <w:lang w:val="en-US"/>
        </w:rPr>
        <w:t>+39 335 8737298</w:t>
      </w:r>
    </w:p>
    <w:p w14:paraId="6BC33E1D" w14:textId="77777777" w:rsidR="003D756D" w:rsidRPr="00F01B5A" w:rsidRDefault="003D756D" w:rsidP="00206526">
      <w:pPr>
        <w:tabs>
          <w:tab w:val="left" w:pos="2592"/>
        </w:tabs>
        <w:spacing w:after="0"/>
        <w:rPr>
          <w:rFonts w:ascii="Arial" w:eastAsia="Arial" w:hAnsi="Arial" w:cs="Arial"/>
          <w:b/>
          <w:bCs/>
          <w:sz w:val="20"/>
          <w:szCs w:val="20"/>
          <w:lang w:val="en-US"/>
        </w:rPr>
      </w:pPr>
      <w:bookmarkStart w:id="3" w:name="_Hlk104885869"/>
    </w:p>
    <w:p w14:paraId="043665D4" w14:textId="77777777" w:rsidR="003D756D" w:rsidRPr="00F01B5A" w:rsidRDefault="003D756D" w:rsidP="00206526">
      <w:pPr>
        <w:tabs>
          <w:tab w:val="left" w:pos="2592"/>
        </w:tabs>
        <w:spacing w:after="0"/>
        <w:rPr>
          <w:rFonts w:ascii="Arial" w:eastAsia="Arial" w:hAnsi="Arial" w:cs="Arial"/>
          <w:b/>
          <w:bCs/>
          <w:sz w:val="20"/>
          <w:szCs w:val="20"/>
          <w:lang w:val="en-US"/>
        </w:rPr>
      </w:pPr>
    </w:p>
    <w:p w14:paraId="1851D909" w14:textId="2AB9F345" w:rsidR="00206526" w:rsidRPr="00F01B5A" w:rsidRDefault="005062F7" w:rsidP="00206526">
      <w:pPr>
        <w:tabs>
          <w:tab w:val="left" w:pos="2592"/>
        </w:tabs>
        <w:spacing w:after="0"/>
        <w:rPr>
          <w:rFonts w:ascii="Arial" w:eastAsia="Arial" w:hAnsi="Arial" w:cs="Arial"/>
          <w:b/>
          <w:bCs/>
          <w:sz w:val="20"/>
          <w:szCs w:val="20"/>
          <w:lang w:val="en-US"/>
        </w:rPr>
      </w:pPr>
      <w:r w:rsidRPr="00F01B5A">
        <w:rPr>
          <w:rFonts w:ascii="Arial" w:hAnsi="Arial"/>
          <w:b/>
          <w:bCs/>
          <w:sz w:val="20"/>
          <w:szCs w:val="20"/>
          <w:lang w:val="en-US"/>
        </w:rPr>
        <w:t>Vulcan</w:t>
      </w:r>
    </w:p>
    <w:p w14:paraId="16FFE100" w14:textId="77777777" w:rsidR="00206526" w:rsidRPr="00F01B5A" w:rsidRDefault="00206526" w:rsidP="00206526">
      <w:pPr>
        <w:tabs>
          <w:tab w:val="left" w:pos="2592"/>
        </w:tabs>
        <w:spacing w:after="0"/>
        <w:rPr>
          <w:rFonts w:ascii="Arial" w:eastAsia="Arial" w:hAnsi="Arial" w:cs="Arial"/>
          <w:sz w:val="20"/>
          <w:szCs w:val="20"/>
          <w:lang w:val="en-US"/>
        </w:rPr>
      </w:pPr>
    </w:p>
    <w:bookmarkEnd w:id="3"/>
    <w:p w14:paraId="214A09E4" w14:textId="77777777" w:rsidR="005062F7" w:rsidRPr="00F01B5A" w:rsidRDefault="005062F7" w:rsidP="005062F7">
      <w:pPr>
        <w:spacing w:after="0"/>
        <w:rPr>
          <w:rFonts w:ascii="Arial" w:eastAsia="Arial" w:hAnsi="Arial" w:cs="Arial"/>
          <w:b/>
          <w:bCs/>
          <w:sz w:val="20"/>
          <w:szCs w:val="20"/>
          <w:lang w:val="en-US"/>
        </w:rPr>
      </w:pPr>
      <w:proofErr w:type="spellStart"/>
      <w:proofErr w:type="gramStart"/>
      <w:r w:rsidRPr="00F01B5A">
        <w:rPr>
          <w:rFonts w:ascii="Arial" w:hAnsi="Arial"/>
          <w:b/>
          <w:bCs/>
          <w:sz w:val="20"/>
          <w:szCs w:val="20"/>
          <w:lang w:val="en-US"/>
        </w:rPr>
        <w:t>Allemagne</w:t>
      </w:r>
      <w:proofErr w:type="spellEnd"/>
      <w:r w:rsidRPr="00F01B5A">
        <w:rPr>
          <w:rFonts w:ascii="Arial" w:hAnsi="Arial"/>
          <w:b/>
          <w:bCs/>
          <w:sz w:val="20"/>
          <w:szCs w:val="20"/>
          <w:lang w:val="en-US"/>
        </w:rPr>
        <w:t> :</w:t>
      </w:r>
      <w:proofErr w:type="gramEnd"/>
      <w:r w:rsidRPr="00F01B5A">
        <w:rPr>
          <w:rFonts w:ascii="Arial" w:hAnsi="Arial"/>
          <w:b/>
          <w:bCs/>
          <w:sz w:val="20"/>
          <w:szCs w:val="20"/>
          <w:lang w:val="en-US"/>
        </w:rPr>
        <w:t xml:space="preserve"> </w:t>
      </w:r>
      <w:proofErr w:type="spellStart"/>
      <w:r w:rsidRPr="00F01B5A">
        <w:rPr>
          <w:rFonts w:ascii="Arial" w:hAnsi="Arial"/>
          <w:sz w:val="20"/>
          <w:szCs w:val="20"/>
          <w:lang w:val="en-US"/>
        </w:rPr>
        <w:t>Beate</w:t>
      </w:r>
      <w:proofErr w:type="spellEnd"/>
      <w:r w:rsidRPr="00F01B5A">
        <w:rPr>
          <w:rFonts w:ascii="Arial" w:hAnsi="Arial"/>
          <w:sz w:val="20"/>
          <w:szCs w:val="20"/>
          <w:lang w:val="en-US"/>
        </w:rPr>
        <w:t xml:space="preserve"> </w:t>
      </w:r>
      <w:proofErr w:type="spellStart"/>
      <w:r w:rsidRPr="00F01B5A">
        <w:rPr>
          <w:rFonts w:ascii="Arial" w:hAnsi="Arial"/>
          <w:sz w:val="20"/>
          <w:szCs w:val="20"/>
          <w:lang w:val="en-US"/>
        </w:rPr>
        <w:t>Holzwarth</w:t>
      </w:r>
      <w:proofErr w:type="spellEnd"/>
      <w:r w:rsidRPr="00F01B5A">
        <w:rPr>
          <w:rFonts w:ascii="Arial" w:hAnsi="Arial"/>
          <w:sz w:val="20"/>
          <w:szCs w:val="20"/>
          <w:lang w:val="en-US"/>
        </w:rPr>
        <w:t>, Chief Communications Officer | bholzwarth@v-er.eu | + 49 (0) 171 440 7844</w:t>
      </w:r>
    </w:p>
    <w:p w14:paraId="306A45C6" w14:textId="77777777" w:rsidR="005062F7" w:rsidRPr="00F01B5A" w:rsidRDefault="005062F7" w:rsidP="005062F7">
      <w:pPr>
        <w:spacing w:after="0"/>
        <w:rPr>
          <w:rFonts w:ascii="Arial" w:eastAsia="Arial" w:hAnsi="Arial" w:cs="Arial"/>
          <w:b/>
          <w:bCs/>
          <w:sz w:val="20"/>
          <w:szCs w:val="20"/>
          <w:lang w:val="en-US"/>
        </w:rPr>
      </w:pPr>
    </w:p>
    <w:p w14:paraId="6EA0D2D4" w14:textId="78037D84" w:rsidR="00C00E9B" w:rsidRPr="005062F7" w:rsidRDefault="005062F7" w:rsidP="005062F7">
      <w:pPr>
        <w:spacing w:after="0"/>
        <w:rPr>
          <w:rFonts w:ascii="Arial" w:eastAsiaTheme="minorEastAsia" w:hAnsi="Arial" w:cs="Arial"/>
          <w:sz w:val="18"/>
          <w:szCs w:val="18"/>
        </w:rPr>
      </w:pPr>
      <w:r>
        <w:rPr>
          <w:rFonts w:ascii="Arial" w:hAnsi="Arial"/>
          <w:b/>
          <w:bCs/>
          <w:sz w:val="20"/>
          <w:szCs w:val="20"/>
        </w:rPr>
        <w:t xml:space="preserve">Australie : </w:t>
      </w:r>
      <w:r>
        <w:rPr>
          <w:rFonts w:ascii="Arial" w:hAnsi="Arial"/>
          <w:sz w:val="20"/>
          <w:szCs w:val="20"/>
        </w:rPr>
        <w:t>Jessica Bukowski, PR &amp; IR Manager| jbukowski@v-er.eu | +61 (0) 420 528 355</w:t>
      </w:r>
    </w:p>
    <w:p w14:paraId="340D9FA5" w14:textId="77777777" w:rsidR="00914E09" w:rsidRPr="00151FE1" w:rsidRDefault="00914E09" w:rsidP="00914E09">
      <w:pPr>
        <w:rPr>
          <w:rFonts w:ascii="Arial" w:hAnsi="Arial" w:cs="Arial"/>
          <w:b/>
          <w:bCs/>
          <w:sz w:val="18"/>
          <w:szCs w:val="18"/>
        </w:rPr>
      </w:pPr>
    </w:p>
    <w:p w14:paraId="019399F4" w14:textId="77777777" w:rsidR="005062F7" w:rsidRPr="0025678C" w:rsidRDefault="005062F7">
      <w:pPr>
        <w:rPr>
          <w:rFonts w:ascii="Arial" w:hAnsi="Arial" w:cs="Arial"/>
          <w:b/>
          <w:bCs/>
          <w:sz w:val="18"/>
          <w:szCs w:val="18"/>
        </w:rPr>
      </w:pPr>
      <w:r>
        <w:br w:type="page"/>
      </w:r>
    </w:p>
    <w:p w14:paraId="22261D1D" w14:textId="77777777" w:rsidR="00D01C4B" w:rsidRDefault="00D01C4B" w:rsidP="00D01C4B">
      <w:pPr>
        <w:spacing w:after="0"/>
        <w:rPr>
          <w:rFonts w:ascii="Arial" w:hAnsi="Arial"/>
          <w:b/>
          <w:bCs/>
          <w:i/>
          <w:iCs/>
          <w:color w:val="243782"/>
          <w:sz w:val="18"/>
          <w:szCs w:val="18"/>
          <w:lang w:eastAsia="fr-FR"/>
        </w:rPr>
      </w:pPr>
      <w:r w:rsidRPr="00D70442">
        <w:rPr>
          <w:rFonts w:ascii="Arial" w:hAnsi="Arial"/>
          <w:b/>
          <w:bCs/>
          <w:i/>
          <w:iCs/>
          <w:color w:val="243782"/>
          <w:sz w:val="18"/>
          <w:szCs w:val="18"/>
          <w:lang w:eastAsia="fr-FR"/>
        </w:rPr>
        <w:lastRenderedPageBreak/>
        <w:t>DÉCLARATIONS PROSPECTIVES</w:t>
      </w:r>
    </w:p>
    <w:p w14:paraId="2B37A51F" w14:textId="77777777" w:rsidR="00D01C4B" w:rsidRPr="00933B2E" w:rsidRDefault="00D01C4B" w:rsidP="00D01C4B">
      <w:pPr>
        <w:spacing w:after="0"/>
        <w:rPr>
          <w:rFonts w:ascii="Arial" w:eastAsia="Yu Mincho" w:hAnsi="Arial" w:cs="Arial"/>
          <w:b/>
          <w:bCs/>
          <w:i/>
          <w:iCs/>
          <w:color w:val="243782"/>
          <w:sz w:val="18"/>
          <w:szCs w:val="18"/>
        </w:rPr>
      </w:pPr>
    </w:p>
    <w:p w14:paraId="10C669F6" w14:textId="0F7BC562" w:rsidR="00D01C4B" w:rsidRPr="00E20B9D" w:rsidRDefault="00D01C4B" w:rsidP="00D01C4B">
      <w:pPr>
        <w:spacing w:after="0"/>
        <w:rPr>
          <w:rFonts w:ascii="Arial" w:hAnsi="Arial" w:cs="Arial"/>
          <w:i/>
          <w:iCs/>
          <w:color w:val="242424"/>
          <w:sz w:val="18"/>
          <w:szCs w:val="18"/>
          <w:shd w:val="clear" w:color="auto" w:fill="FFFFFF"/>
        </w:rPr>
      </w:pPr>
      <w:r w:rsidRPr="00E20B9D">
        <w:rPr>
          <w:rFonts w:ascii="Arial" w:hAnsi="Arial" w:cs="Arial"/>
          <w:i/>
          <w:iCs/>
          <w:color w:val="242424"/>
          <w:sz w:val="18"/>
          <w:szCs w:val="18"/>
          <w:shd w:val="clear" w:color="auto" w:fill="FFFFFF"/>
        </w:rPr>
        <w:t xml:space="preserve">Cette communication contient des déclarations prospectives. En particulier, les énoncés concernant les événements futurs et les </w:t>
      </w:r>
      <w:r w:rsidRPr="00E20B9D">
        <w:rPr>
          <w:rFonts w:ascii="Arial" w:hAnsi="Arial" w:cs="Arial"/>
          <w:i/>
          <w:iCs/>
          <w:color w:val="242424"/>
          <w:sz w:val="18"/>
          <w:szCs w:val="18"/>
        </w:rPr>
        <w:t xml:space="preserve">estimations de </w:t>
      </w:r>
      <w:r w:rsidRPr="00E20B9D">
        <w:rPr>
          <w:rFonts w:ascii="Arial" w:hAnsi="Arial" w:cs="Arial"/>
          <w:i/>
          <w:iCs/>
          <w:color w:val="242424"/>
          <w:sz w:val="18"/>
          <w:szCs w:val="18"/>
          <w:shd w:val="clear" w:color="auto" w:fill="FFFFFF"/>
        </w:rPr>
        <w:t xml:space="preserve">résultats des </w:t>
      </w:r>
      <w:r w:rsidRPr="00E20B9D">
        <w:rPr>
          <w:rFonts w:ascii="Arial" w:hAnsi="Arial" w:cs="Arial"/>
          <w:i/>
          <w:iCs/>
          <w:color w:val="242424"/>
          <w:sz w:val="18"/>
          <w:szCs w:val="18"/>
        </w:rPr>
        <w:t>activités</w:t>
      </w:r>
      <w:r w:rsidRPr="00E20B9D">
        <w:rPr>
          <w:rFonts w:ascii="Arial" w:hAnsi="Arial" w:cs="Arial"/>
          <w:i/>
          <w:iCs/>
          <w:color w:val="242424"/>
          <w:sz w:val="18"/>
          <w:szCs w:val="18"/>
          <w:shd w:val="clear" w:color="auto" w:fill="FFFFFF"/>
        </w:rPr>
        <w:t>, les stratégies d</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 xml:space="preserve">entreprise, les avantages </w:t>
      </w:r>
      <w:r w:rsidRPr="00E20B9D">
        <w:rPr>
          <w:rFonts w:ascii="Arial" w:hAnsi="Arial" w:cs="Arial"/>
          <w:i/>
          <w:iCs/>
          <w:color w:val="242424"/>
          <w:sz w:val="18"/>
          <w:szCs w:val="18"/>
        </w:rPr>
        <w:t xml:space="preserve">escomptés </w:t>
      </w:r>
      <w:r w:rsidRPr="00E20B9D">
        <w:rPr>
          <w:rFonts w:ascii="Arial" w:hAnsi="Arial" w:cs="Arial"/>
          <w:i/>
          <w:iCs/>
          <w:color w:val="242424"/>
          <w:sz w:val="18"/>
          <w:szCs w:val="18"/>
          <w:shd w:val="clear" w:color="auto" w:fill="FFFFFF"/>
        </w:rPr>
        <w:t xml:space="preserve">de la transaction proposée, les résultats financiers et opérationnels futurs, la date </w:t>
      </w:r>
      <w:r w:rsidRPr="00E20B9D">
        <w:rPr>
          <w:rFonts w:ascii="Arial" w:hAnsi="Arial" w:cs="Arial"/>
          <w:i/>
          <w:iCs/>
          <w:color w:val="242424"/>
          <w:sz w:val="18"/>
          <w:szCs w:val="18"/>
        </w:rPr>
        <w:t xml:space="preserve">prévue </w:t>
      </w:r>
      <w:r w:rsidRPr="00E20B9D">
        <w:rPr>
          <w:rFonts w:ascii="Arial" w:hAnsi="Arial" w:cs="Arial"/>
          <w:i/>
          <w:iCs/>
          <w:color w:val="242424"/>
          <w:sz w:val="18"/>
          <w:szCs w:val="18"/>
          <w:shd w:val="clear" w:color="auto" w:fill="FFFFFF"/>
        </w:rPr>
        <w:t xml:space="preserve">de </w:t>
      </w:r>
      <w:r w:rsidRPr="00E20B9D">
        <w:rPr>
          <w:rFonts w:ascii="Arial" w:hAnsi="Arial" w:cs="Arial"/>
          <w:i/>
          <w:iCs/>
          <w:color w:val="242424"/>
          <w:sz w:val="18"/>
          <w:szCs w:val="18"/>
        </w:rPr>
        <w:t xml:space="preserve">réalisation </w:t>
      </w:r>
      <w:r w:rsidRPr="00E20B9D">
        <w:rPr>
          <w:rFonts w:ascii="Arial" w:hAnsi="Arial" w:cs="Arial"/>
          <w:i/>
          <w:iCs/>
          <w:color w:val="242424"/>
          <w:sz w:val="18"/>
          <w:szCs w:val="18"/>
          <w:shd w:val="clear" w:color="auto" w:fill="FFFFFF"/>
        </w:rPr>
        <w:t>de la transaction proposée et d</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 xml:space="preserve">autres aspects </w:t>
      </w:r>
      <w:r w:rsidRPr="00E20B9D">
        <w:rPr>
          <w:rFonts w:ascii="Arial" w:hAnsi="Arial" w:cs="Arial"/>
          <w:i/>
          <w:iCs/>
          <w:color w:val="242424"/>
          <w:sz w:val="18"/>
          <w:szCs w:val="18"/>
        </w:rPr>
        <w:t xml:space="preserve">escomptés </w:t>
      </w:r>
      <w:r w:rsidRPr="00E20B9D">
        <w:rPr>
          <w:rFonts w:ascii="Arial" w:hAnsi="Arial" w:cs="Arial"/>
          <w:i/>
          <w:iCs/>
          <w:color w:val="242424"/>
          <w:sz w:val="18"/>
          <w:szCs w:val="18"/>
          <w:shd w:val="clear" w:color="auto" w:fill="FFFFFF"/>
        </w:rPr>
        <w:t xml:space="preserve">de nos </w:t>
      </w:r>
      <w:r w:rsidRPr="00E20B9D">
        <w:rPr>
          <w:rFonts w:ascii="Arial" w:hAnsi="Arial" w:cs="Arial"/>
          <w:i/>
          <w:iCs/>
          <w:color w:val="242424"/>
          <w:sz w:val="18"/>
          <w:szCs w:val="18"/>
        </w:rPr>
        <w:t xml:space="preserve">activités </w:t>
      </w:r>
      <w:r w:rsidRPr="00E20B9D">
        <w:rPr>
          <w:rFonts w:ascii="Arial" w:hAnsi="Arial" w:cs="Arial"/>
          <w:i/>
          <w:iCs/>
          <w:color w:val="242424"/>
          <w:sz w:val="18"/>
          <w:szCs w:val="18"/>
          <w:shd w:val="clear" w:color="auto" w:fill="FFFFFF"/>
        </w:rPr>
        <w:t xml:space="preserve">ou résultats opérationnels sont des </w:t>
      </w:r>
      <w:r w:rsidRPr="00E20B9D">
        <w:rPr>
          <w:rFonts w:ascii="Arial" w:hAnsi="Arial" w:cs="Arial"/>
          <w:i/>
          <w:iCs/>
          <w:color w:val="242424"/>
          <w:sz w:val="18"/>
          <w:szCs w:val="18"/>
        </w:rPr>
        <w:t xml:space="preserve">déclarations </w:t>
      </w:r>
      <w:r w:rsidRPr="00E20B9D">
        <w:rPr>
          <w:rFonts w:ascii="Arial" w:hAnsi="Arial" w:cs="Arial"/>
          <w:i/>
          <w:iCs/>
          <w:color w:val="242424"/>
          <w:sz w:val="18"/>
          <w:szCs w:val="18"/>
          <w:shd w:val="clear" w:color="auto" w:fill="FFFFFF"/>
        </w:rPr>
        <w:t>prospecti</w:t>
      </w:r>
      <w:r w:rsidRPr="00E20B9D">
        <w:rPr>
          <w:rFonts w:ascii="Arial" w:hAnsi="Arial" w:cs="Arial"/>
          <w:i/>
          <w:iCs/>
          <w:color w:val="242424"/>
          <w:sz w:val="18"/>
          <w:szCs w:val="18"/>
        </w:rPr>
        <w:t>ve</w:t>
      </w:r>
      <w:r w:rsidRPr="00E20B9D">
        <w:rPr>
          <w:rFonts w:ascii="Arial" w:hAnsi="Arial" w:cs="Arial"/>
          <w:i/>
          <w:iCs/>
          <w:color w:val="242424"/>
          <w:sz w:val="18"/>
          <w:szCs w:val="18"/>
          <w:shd w:val="clear" w:color="auto" w:fill="FFFFFF"/>
        </w:rPr>
        <w:t xml:space="preserve">s. </w:t>
      </w:r>
      <w:r w:rsidRPr="00E20B9D">
        <w:rPr>
          <w:rFonts w:ascii="Arial" w:hAnsi="Arial" w:cs="Arial"/>
          <w:i/>
          <w:iCs/>
          <w:color w:val="242424"/>
          <w:sz w:val="18"/>
          <w:szCs w:val="18"/>
        </w:rPr>
        <w:t xml:space="preserve">Des mots et expressions déclarations </w:t>
      </w:r>
      <w:r w:rsidRPr="00E20B9D">
        <w:rPr>
          <w:rFonts w:ascii="Arial" w:hAnsi="Arial" w:cs="Arial"/>
          <w:i/>
          <w:iCs/>
          <w:color w:val="242424"/>
          <w:sz w:val="18"/>
          <w:szCs w:val="18"/>
          <w:shd w:val="clear" w:color="auto" w:fill="FFFFFF"/>
        </w:rPr>
        <w:t>tels que “ peut “, “ va “, “ s</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attend</w:t>
      </w:r>
      <w:r w:rsidRPr="00E20B9D">
        <w:rPr>
          <w:rFonts w:ascii="Arial" w:hAnsi="Arial" w:cs="Arial"/>
          <w:i/>
          <w:iCs/>
          <w:color w:val="242424"/>
          <w:sz w:val="18"/>
          <w:szCs w:val="18"/>
        </w:rPr>
        <w:t>re à</w:t>
      </w:r>
      <w:r w:rsidRPr="00E20B9D">
        <w:rPr>
          <w:rFonts w:ascii="Arial" w:hAnsi="Arial" w:cs="Arial"/>
          <w:i/>
          <w:iCs/>
          <w:color w:val="242424"/>
          <w:sz w:val="18"/>
          <w:szCs w:val="18"/>
          <w:shd w:val="clear" w:color="auto" w:fill="FFFFFF"/>
        </w:rPr>
        <w:t xml:space="preserve"> “, “ pourrait “, “ devrait “, “ </w:t>
      </w:r>
      <w:r w:rsidRPr="00E20B9D">
        <w:rPr>
          <w:rFonts w:ascii="Arial" w:hAnsi="Arial" w:cs="Arial"/>
          <w:i/>
          <w:iCs/>
          <w:color w:val="242424"/>
          <w:sz w:val="18"/>
          <w:szCs w:val="18"/>
        </w:rPr>
        <w:t>avoir</w:t>
      </w:r>
      <w:r w:rsidRPr="00E20B9D">
        <w:rPr>
          <w:rFonts w:ascii="Arial" w:hAnsi="Arial" w:cs="Arial"/>
          <w:i/>
          <w:iCs/>
          <w:color w:val="242424"/>
          <w:sz w:val="18"/>
          <w:szCs w:val="18"/>
          <w:shd w:val="clear" w:color="auto" w:fill="FFFFFF"/>
        </w:rPr>
        <w:t xml:space="preserve">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 xml:space="preserve">intention </w:t>
      </w:r>
      <w:r w:rsidRPr="00E20B9D">
        <w:rPr>
          <w:rFonts w:ascii="Arial" w:hAnsi="Arial" w:cs="Arial"/>
          <w:i/>
          <w:iCs/>
          <w:color w:val="242424"/>
          <w:sz w:val="18"/>
          <w:szCs w:val="18"/>
        </w:rPr>
        <w:t>de</w:t>
      </w:r>
      <w:r w:rsidRPr="00E20B9D">
        <w:rPr>
          <w:rFonts w:ascii="Arial" w:hAnsi="Arial" w:cs="Arial"/>
          <w:i/>
          <w:iCs/>
          <w:color w:val="242424"/>
          <w:sz w:val="18"/>
          <w:szCs w:val="18"/>
          <w:shd w:val="clear" w:color="auto" w:fill="FFFFFF"/>
        </w:rPr>
        <w:t>“, “ estime</w:t>
      </w:r>
      <w:r w:rsidRPr="00E20B9D">
        <w:rPr>
          <w:rFonts w:ascii="Arial" w:hAnsi="Arial" w:cs="Arial"/>
          <w:i/>
          <w:iCs/>
          <w:color w:val="242424"/>
          <w:sz w:val="18"/>
          <w:szCs w:val="18"/>
        </w:rPr>
        <w:t>r</w:t>
      </w:r>
      <w:r w:rsidRPr="00E20B9D">
        <w:rPr>
          <w:rFonts w:ascii="Arial" w:hAnsi="Arial" w:cs="Arial"/>
          <w:i/>
          <w:iCs/>
          <w:color w:val="242424"/>
          <w:sz w:val="18"/>
          <w:szCs w:val="18"/>
          <w:shd w:val="clear" w:color="auto" w:fill="FFFFFF"/>
        </w:rPr>
        <w:t xml:space="preserve"> “, “ anticipe</w:t>
      </w:r>
      <w:r w:rsidRPr="00E20B9D">
        <w:rPr>
          <w:rFonts w:ascii="Arial" w:hAnsi="Arial" w:cs="Arial"/>
          <w:i/>
          <w:iCs/>
          <w:color w:val="242424"/>
          <w:sz w:val="18"/>
          <w:szCs w:val="18"/>
        </w:rPr>
        <w:t>r</w:t>
      </w:r>
      <w:r w:rsidRPr="00E20B9D">
        <w:rPr>
          <w:rFonts w:ascii="Arial" w:hAnsi="Arial" w:cs="Arial"/>
          <w:i/>
          <w:iCs/>
          <w:color w:val="242424"/>
          <w:sz w:val="18"/>
          <w:szCs w:val="18"/>
          <w:shd w:val="clear" w:color="auto" w:fill="FFFFFF"/>
        </w:rPr>
        <w:t xml:space="preserve"> “, </w:t>
      </w:r>
      <w:r w:rsidRPr="00E20B9D">
        <w:rPr>
          <w:rFonts w:ascii="Arial" w:hAnsi="Arial" w:cs="Arial"/>
          <w:i/>
          <w:iCs/>
          <w:color w:val="242424"/>
          <w:sz w:val="18"/>
          <w:szCs w:val="18"/>
        </w:rPr>
        <w:t xml:space="preserve">“ penser “, </w:t>
      </w:r>
      <w:r w:rsidRPr="00E20B9D">
        <w:rPr>
          <w:rFonts w:ascii="Arial" w:hAnsi="Arial" w:cs="Arial"/>
          <w:i/>
          <w:iCs/>
          <w:color w:val="242424"/>
          <w:sz w:val="18"/>
          <w:szCs w:val="18"/>
          <w:shd w:val="clear" w:color="auto" w:fill="FFFFFF"/>
        </w:rPr>
        <w:t>“ croi</w:t>
      </w:r>
      <w:r w:rsidRPr="00E20B9D">
        <w:rPr>
          <w:rFonts w:ascii="Arial" w:hAnsi="Arial" w:cs="Arial"/>
          <w:i/>
          <w:iCs/>
          <w:color w:val="242424"/>
          <w:sz w:val="18"/>
          <w:szCs w:val="18"/>
        </w:rPr>
        <w:t>re</w:t>
      </w:r>
      <w:r w:rsidRPr="00E20B9D">
        <w:rPr>
          <w:rFonts w:ascii="Arial" w:hAnsi="Arial" w:cs="Arial"/>
          <w:i/>
          <w:iCs/>
          <w:color w:val="242424"/>
          <w:sz w:val="18"/>
          <w:szCs w:val="18"/>
          <w:shd w:val="clear" w:color="auto" w:fill="FFFFFF"/>
        </w:rPr>
        <w:t xml:space="preserve"> “, “ reste</w:t>
      </w:r>
      <w:r w:rsidRPr="00E20B9D">
        <w:rPr>
          <w:rFonts w:ascii="Arial" w:hAnsi="Arial" w:cs="Arial"/>
          <w:i/>
          <w:iCs/>
          <w:color w:val="242424"/>
          <w:sz w:val="18"/>
          <w:szCs w:val="18"/>
        </w:rPr>
        <w:t>r</w:t>
      </w:r>
      <w:r w:rsidRPr="00E20B9D">
        <w:rPr>
          <w:rFonts w:ascii="Arial" w:hAnsi="Arial" w:cs="Arial"/>
          <w:i/>
          <w:iCs/>
          <w:color w:val="242424"/>
          <w:sz w:val="18"/>
          <w:szCs w:val="18"/>
          <w:shd w:val="clear" w:color="auto" w:fill="FFFFFF"/>
        </w:rPr>
        <w:t xml:space="preserve"> “, “ en bonne voie “, “ conception”, “ cible “, “ objectif “, “ but “, “ prévision “, “ projection “, “ perspectives “, </w:t>
      </w:r>
      <w:r w:rsidRPr="00E20B9D">
        <w:rPr>
          <w:rFonts w:ascii="Arial" w:hAnsi="Arial" w:cs="Arial"/>
          <w:i/>
          <w:iCs/>
          <w:color w:val="242424"/>
          <w:sz w:val="18"/>
          <w:szCs w:val="18"/>
        </w:rPr>
        <w:t xml:space="preserve">“ estimation “, </w:t>
      </w:r>
      <w:r w:rsidRPr="00E20B9D">
        <w:rPr>
          <w:rFonts w:ascii="Arial" w:hAnsi="Arial" w:cs="Arial"/>
          <w:i/>
          <w:iCs/>
          <w:color w:val="242424"/>
          <w:sz w:val="18"/>
          <w:szCs w:val="18"/>
          <w:shd w:val="clear" w:color="auto" w:fill="FFFFFF"/>
        </w:rPr>
        <w:t>“ plan</w:t>
      </w:r>
      <w:r w:rsidRPr="00E20B9D">
        <w:rPr>
          <w:rFonts w:ascii="Arial" w:hAnsi="Arial" w:cs="Arial"/>
          <w:i/>
          <w:iCs/>
          <w:color w:val="242424"/>
          <w:sz w:val="18"/>
          <w:szCs w:val="18"/>
        </w:rPr>
        <w:t>ifier</w:t>
      </w:r>
      <w:r w:rsidRPr="00E20B9D">
        <w:rPr>
          <w:rFonts w:ascii="Arial" w:hAnsi="Arial" w:cs="Arial"/>
          <w:i/>
          <w:iCs/>
          <w:color w:val="242424"/>
          <w:sz w:val="18"/>
          <w:szCs w:val="18"/>
          <w:shd w:val="clear" w:color="auto" w:fill="FFFFFF"/>
        </w:rPr>
        <w:t xml:space="preserve"> “, </w:t>
      </w:r>
      <w:r w:rsidRPr="00E20B9D">
        <w:rPr>
          <w:rFonts w:ascii="Arial" w:hAnsi="Arial" w:cs="Arial"/>
          <w:i/>
          <w:iCs/>
          <w:color w:val="242424"/>
          <w:sz w:val="18"/>
          <w:szCs w:val="18"/>
        </w:rPr>
        <w:t>ainsi que les mots et expressions de cette nature et toutes les phrases au futur indiquent des déclarations prospectives</w:t>
      </w:r>
      <w:r w:rsidRPr="00E20B9D">
        <w:rPr>
          <w:rFonts w:ascii="Arial" w:hAnsi="Arial" w:cs="Arial"/>
          <w:i/>
          <w:iCs/>
          <w:color w:val="242424"/>
          <w:sz w:val="18"/>
          <w:szCs w:val="18"/>
          <w:shd w:val="clear" w:color="auto" w:fill="FFFFFF"/>
        </w:rPr>
        <w:t>. Les déclarations prospectives ne sont pas des garanties de rendement futur. Elles sont fondées sur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état actuel des connaissances</w:t>
      </w:r>
      <w:r w:rsidRPr="00E20B9D">
        <w:rPr>
          <w:rFonts w:ascii="Arial" w:hAnsi="Arial" w:cs="Arial"/>
          <w:i/>
          <w:iCs/>
          <w:color w:val="242424"/>
          <w:sz w:val="18"/>
          <w:szCs w:val="18"/>
        </w:rPr>
        <w:t xml:space="preserve"> de Stellantis</w:t>
      </w:r>
      <w:r w:rsidRPr="00E20B9D">
        <w:rPr>
          <w:rFonts w:ascii="Arial" w:hAnsi="Arial" w:cs="Arial"/>
          <w:i/>
          <w:iCs/>
          <w:color w:val="242424"/>
          <w:sz w:val="18"/>
          <w:szCs w:val="18"/>
          <w:shd w:val="clear" w:color="auto" w:fill="FFFFFF"/>
        </w:rPr>
        <w:t xml:space="preserve">, les attentes futures et les projections concernant </w:t>
      </w:r>
      <w:r w:rsidRPr="00E20B9D">
        <w:rPr>
          <w:rFonts w:ascii="Arial" w:hAnsi="Arial" w:cs="Arial"/>
          <w:i/>
          <w:iCs/>
          <w:color w:val="242424"/>
          <w:sz w:val="18"/>
          <w:szCs w:val="18"/>
        </w:rPr>
        <w:t>des évènements futurs</w:t>
      </w:r>
      <w:r w:rsidRPr="00E20B9D">
        <w:rPr>
          <w:rFonts w:ascii="Arial" w:hAnsi="Arial" w:cs="Arial"/>
          <w:i/>
          <w:iCs/>
          <w:color w:val="242424"/>
          <w:sz w:val="18"/>
          <w:szCs w:val="18"/>
          <w:shd w:val="clear" w:color="auto" w:fill="FFFFFF"/>
        </w:rPr>
        <w:t xml:space="preserve"> et sont</w:t>
      </w:r>
      <w:r w:rsidRPr="00E20B9D">
        <w:rPr>
          <w:rFonts w:ascii="Arial" w:hAnsi="Arial" w:cs="Arial"/>
          <w:i/>
          <w:iCs/>
          <w:color w:val="242424"/>
          <w:sz w:val="18"/>
          <w:szCs w:val="18"/>
        </w:rPr>
        <w:t>,</w:t>
      </w:r>
      <w:r w:rsidRPr="00E20B9D">
        <w:rPr>
          <w:rFonts w:ascii="Arial" w:hAnsi="Arial" w:cs="Arial"/>
          <w:i/>
          <w:iCs/>
          <w:color w:val="242424"/>
          <w:sz w:val="18"/>
          <w:szCs w:val="18"/>
          <w:shd w:val="clear" w:color="auto" w:fill="FFFFFF"/>
        </w:rPr>
        <w:t xml:space="preserve"> par nature</w:t>
      </w:r>
      <w:r w:rsidRPr="00E20B9D">
        <w:rPr>
          <w:rFonts w:ascii="Arial" w:hAnsi="Arial" w:cs="Arial"/>
          <w:i/>
          <w:iCs/>
          <w:color w:val="242424"/>
          <w:sz w:val="18"/>
          <w:szCs w:val="18"/>
        </w:rPr>
        <w:t>,</w:t>
      </w:r>
      <w:r w:rsidRPr="00E20B9D">
        <w:rPr>
          <w:rFonts w:ascii="Arial" w:hAnsi="Arial" w:cs="Arial"/>
          <w:i/>
          <w:iCs/>
          <w:color w:val="242424"/>
          <w:sz w:val="18"/>
          <w:szCs w:val="18"/>
          <w:shd w:val="clear" w:color="auto" w:fill="FFFFFF"/>
        </w:rPr>
        <w:t xml:space="preserve"> </w:t>
      </w:r>
      <w:r w:rsidRPr="00E20B9D">
        <w:rPr>
          <w:rFonts w:ascii="Arial" w:hAnsi="Arial" w:cs="Arial"/>
          <w:i/>
          <w:iCs/>
          <w:color w:val="242424"/>
          <w:sz w:val="18"/>
          <w:szCs w:val="18"/>
        </w:rPr>
        <w:t xml:space="preserve">soumises à de nombreux </w:t>
      </w:r>
      <w:r w:rsidRPr="00E20B9D">
        <w:rPr>
          <w:rFonts w:ascii="Arial" w:hAnsi="Arial" w:cs="Arial"/>
          <w:i/>
          <w:iCs/>
          <w:color w:val="242424"/>
          <w:sz w:val="18"/>
          <w:szCs w:val="18"/>
          <w:shd w:val="clear" w:color="auto" w:fill="FFFFFF"/>
        </w:rPr>
        <w:t xml:space="preserve">risques et incertitudes </w:t>
      </w:r>
      <w:r w:rsidRPr="00E20B9D">
        <w:rPr>
          <w:rFonts w:ascii="Arial" w:hAnsi="Arial" w:cs="Arial"/>
          <w:i/>
          <w:iCs/>
          <w:color w:val="242424"/>
          <w:sz w:val="18"/>
          <w:szCs w:val="18"/>
        </w:rPr>
        <w:t>inhérentes à ces activités et donc difficilement prévisibles</w:t>
      </w:r>
      <w:r w:rsidRPr="00E20B9D">
        <w:rPr>
          <w:rFonts w:ascii="Arial" w:hAnsi="Arial" w:cs="Arial"/>
          <w:i/>
          <w:iCs/>
          <w:color w:val="242424"/>
          <w:sz w:val="18"/>
          <w:szCs w:val="18"/>
          <w:shd w:val="clear" w:color="auto" w:fill="FFFFFF"/>
        </w:rPr>
        <w:t>. Elles se rapportent à des événements et dépendent de circonstances qui pourraient ou non se produire ou exister à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avenir et, par conséquent,</w:t>
      </w:r>
      <w:r w:rsidRPr="00E20B9D">
        <w:rPr>
          <w:rFonts w:ascii="Arial" w:hAnsi="Arial" w:cs="Arial"/>
          <w:i/>
          <w:iCs/>
          <w:color w:val="242424"/>
          <w:sz w:val="18"/>
          <w:szCs w:val="18"/>
        </w:rPr>
        <w:t xml:space="preserve"> il ne faut pas s</w:t>
      </w:r>
      <w:r w:rsidR="000170E9">
        <w:rPr>
          <w:rFonts w:ascii="Arial" w:hAnsi="Arial" w:cs="Arial"/>
          <w:i/>
          <w:iCs/>
          <w:color w:val="242424"/>
          <w:sz w:val="18"/>
          <w:szCs w:val="18"/>
        </w:rPr>
        <w:t>’</w:t>
      </w:r>
      <w:r w:rsidRPr="00E20B9D">
        <w:rPr>
          <w:rFonts w:ascii="Arial" w:hAnsi="Arial" w:cs="Arial"/>
          <w:i/>
          <w:iCs/>
          <w:color w:val="242424"/>
          <w:sz w:val="18"/>
          <w:szCs w:val="18"/>
        </w:rPr>
        <w:t>y fier indûment</w:t>
      </w:r>
      <w:r w:rsidRPr="00E20B9D">
        <w:rPr>
          <w:rFonts w:ascii="Arial" w:hAnsi="Arial" w:cs="Arial"/>
          <w:i/>
          <w:iCs/>
          <w:color w:val="242424"/>
          <w:sz w:val="18"/>
          <w:szCs w:val="18"/>
          <w:shd w:val="clear" w:color="auto" w:fill="FFFFFF"/>
        </w:rPr>
        <w:t>. </w:t>
      </w:r>
    </w:p>
    <w:p w14:paraId="26DBB1B9" w14:textId="77777777" w:rsidR="00D01C4B" w:rsidRPr="00E20B9D" w:rsidRDefault="00D01C4B" w:rsidP="00D01C4B">
      <w:pPr>
        <w:spacing w:after="0"/>
        <w:rPr>
          <w:rFonts w:ascii="Arial" w:hAnsi="Arial" w:cs="Arial"/>
          <w:i/>
          <w:iCs/>
          <w:color w:val="242424"/>
          <w:sz w:val="18"/>
          <w:szCs w:val="18"/>
          <w:shd w:val="clear" w:color="auto" w:fill="FFFFFF"/>
        </w:rPr>
      </w:pPr>
    </w:p>
    <w:p w14:paraId="553DD841" w14:textId="21A9332D" w:rsidR="00D01C4B" w:rsidRPr="00E20B9D" w:rsidRDefault="00D01C4B" w:rsidP="00D01C4B">
      <w:pPr>
        <w:rPr>
          <w:rFonts w:ascii="Arial" w:hAnsi="Arial" w:cs="Arial"/>
          <w:i/>
          <w:iCs/>
          <w:color w:val="242424"/>
          <w:sz w:val="18"/>
          <w:szCs w:val="18"/>
          <w:shd w:val="clear" w:color="auto" w:fill="FFFFFF"/>
        </w:rPr>
      </w:pPr>
      <w:r w:rsidRPr="00E20B9D">
        <w:rPr>
          <w:rFonts w:ascii="Arial" w:hAnsi="Arial" w:cs="Arial"/>
          <w:i/>
          <w:iCs/>
          <w:color w:val="242424"/>
          <w:sz w:val="18"/>
          <w:szCs w:val="18"/>
          <w:shd w:val="clear" w:color="auto" w:fill="FFFFFF"/>
        </w:rPr>
        <w:t xml:space="preserve">Les résultats réels peuvent </w:t>
      </w:r>
      <w:r w:rsidRPr="00E20B9D">
        <w:rPr>
          <w:rFonts w:ascii="Arial" w:hAnsi="Arial" w:cs="Arial"/>
          <w:i/>
          <w:iCs/>
          <w:color w:val="242424"/>
          <w:sz w:val="18"/>
          <w:szCs w:val="18"/>
        </w:rPr>
        <w:t xml:space="preserve">sensiblement </w:t>
      </w:r>
      <w:r w:rsidRPr="00E20B9D">
        <w:rPr>
          <w:rFonts w:ascii="Arial" w:hAnsi="Arial" w:cs="Arial"/>
          <w:i/>
          <w:iCs/>
          <w:color w:val="242424"/>
          <w:sz w:val="18"/>
          <w:szCs w:val="18"/>
          <w:shd w:val="clear" w:color="auto" w:fill="FFFFFF"/>
        </w:rPr>
        <w:t xml:space="preserve">différer de ceux exprimés dans les </w:t>
      </w:r>
      <w:r w:rsidRPr="00E20B9D">
        <w:rPr>
          <w:rFonts w:ascii="Arial" w:hAnsi="Arial" w:cs="Arial"/>
          <w:i/>
          <w:iCs/>
          <w:color w:val="242424"/>
          <w:sz w:val="18"/>
          <w:szCs w:val="18"/>
        </w:rPr>
        <w:t xml:space="preserve">déclarations </w:t>
      </w:r>
      <w:r w:rsidRPr="00E20B9D">
        <w:rPr>
          <w:rFonts w:ascii="Arial" w:hAnsi="Arial" w:cs="Arial"/>
          <w:i/>
          <w:iCs/>
          <w:color w:val="242424"/>
          <w:sz w:val="18"/>
          <w:szCs w:val="18"/>
          <w:shd w:val="clear" w:color="auto" w:fill="FFFFFF"/>
        </w:rPr>
        <w:t>prospecti</w:t>
      </w:r>
      <w:r w:rsidRPr="00E20B9D">
        <w:rPr>
          <w:rFonts w:ascii="Arial" w:hAnsi="Arial" w:cs="Arial"/>
          <w:i/>
          <w:iCs/>
          <w:color w:val="242424"/>
          <w:sz w:val="18"/>
          <w:szCs w:val="18"/>
        </w:rPr>
        <w:t>ve</w:t>
      </w:r>
      <w:r w:rsidRPr="00E20B9D">
        <w:rPr>
          <w:rFonts w:ascii="Arial" w:hAnsi="Arial" w:cs="Arial"/>
          <w:i/>
          <w:iCs/>
          <w:color w:val="242424"/>
          <w:sz w:val="18"/>
          <w:szCs w:val="18"/>
          <w:shd w:val="clear" w:color="auto" w:fill="FFFFFF"/>
        </w:rPr>
        <w:t>s en raison de divers facteurs, notamment :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impact de la pandémie COVID-19, la capacité de Stellantis à lancer de nouveaux produits avec succès et à maintenir le volume des expéditions de véhicules;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évolution des marchés financiers mondiaux,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environnement économique général et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évolution de la demande de produits automobiles qui sont soumis à un cycle conjoncturel;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évolution de la situation économique et politique</w:t>
      </w:r>
      <w:r w:rsidRPr="00E20B9D">
        <w:rPr>
          <w:rFonts w:ascii="Arial" w:hAnsi="Arial" w:cs="Arial"/>
          <w:i/>
          <w:iCs/>
          <w:color w:val="242424"/>
          <w:sz w:val="18"/>
          <w:szCs w:val="18"/>
        </w:rPr>
        <w:t>s</w:t>
      </w:r>
      <w:r w:rsidRPr="00E20B9D">
        <w:rPr>
          <w:rFonts w:ascii="Arial" w:hAnsi="Arial" w:cs="Arial"/>
          <w:i/>
          <w:iCs/>
          <w:color w:val="242424"/>
          <w:sz w:val="18"/>
          <w:szCs w:val="18"/>
          <w:shd w:val="clear" w:color="auto" w:fill="FFFFFF"/>
        </w:rPr>
        <w:t xml:space="preserve"> locale</w:t>
      </w:r>
      <w:r w:rsidRPr="00E20B9D">
        <w:rPr>
          <w:rFonts w:ascii="Arial" w:hAnsi="Arial" w:cs="Arial"/>
          <w:i/>
          <w:iCs/>
          <w:color w:val="242424"/>
          <w:sz w:val="18"/>
          <w:szCs w:val="18"/>
        </w:rPr>
        <w:t>s</w:t>
      </w:r>
      <w:r w:rsidRPr="00E20B9D">
        <w:rPr>
          <w:rFonts w:ascii="Arial" w:hAnsi="Arial" w:cs="Arial"/>
          <w:i/>
          <w:iCs/>
          <w:color w:val="242424"/>
          <w:sz w:val="18"/>
          <w:szCs w:val="18"/>
          <w:shd w:val="clear" w:color="auto" w:fill="FFFFFF"/>
        </w:rPr>
        <w:t>,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évolution de la politique commerciale et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 xml:space="preserve">imposition de </w:t>
      </w:r>
      <w:r w:rsidRPr="00E20B9D">
        <w:rPr>
          <w:rFonts w:ascii="Arial" w:hAnsi="Arial" w:cs="Arial"/>
          <w:i/>
          <w:iCs/>
          <w:color w:val="242424"/>
          <w:sz w:val="18"/>
          <w:szCs w:val="18"/>
        </w:rPr>
        <w:t xml:space="preserve">taxes </w:t>
      </w:r>
      <w:r w:rsidRPr="00E20B9D">
        <w:rPr>
          <w:rFonts w:ascii="Arial" w:hAnsi="Arial" w:cs="Arial"/>
          <w:i/>
          <w:iCs/>
          <w:color w:val="242424"/>
          <w:sz w:val="18"/>
          <w:szCs w:val="18"/>
          <w:shd w:val="clear" w:color="auto" w:fill="FFFFFF"/>
        </w:rPr>
        <w:t xml:space="preserve">ou de </w:t>
      </w:r>
      <w:r w:rsidRPr="00E20B9D">
        <w:rPr>
          <w:rFonts w:ascii="Arial" w:hAnsi="Arial" w:cs="Arial"/>
          <w:i/>
          <w:iCs/>
          <w:color w:val="242424"/>
          <w:sz w:val="18"/>
          <w:szCs w:val="18"/>
        </w:rPr>
        <w:t xml:space="preserve">droits de douane </w:t>
      </w:r>
      <w:r w:rsidRPr="00E20B9D">
        <w:rPr>
          <w:rFonts w:ascii="Arial" w:hAnsi="Arial" w:cs="Arial"/>
          <w:i/>
          <w:iCs/>
          <w:color w:val="242424"/>
          <w:sz w:val="18"/>
          <w:szCs w:val="18"/>
          <w:shd w:val="clear" w:color="auto" w:fill="FFFFFF"/>
        </w:rPr>
        <w:t>mondi</w:t>
      </w:r>
      <w:r w:rsidRPr="00E20B9D">
        <w:rPr>
          <w:rFonts w:ascii="Arial" w:hAnsi="Arial" w:cs="Arial"/>
          <w:i/>
          <w:iCs/>
          <w:color w:val="242424"/>
          <w:sz w:val="18"/>
          <w:szCs w:val="18"/>
        </w:rPr>
        <w:t>ales</w:t>
      </w:r>
      <w:r w:rsidRPr="00E20B9D">
        <w:rPr>
          <w:rFonts w:ascii="Arial" w:hAnsi="Arial" w:cs="Arial"/>
          <w:i/>
          <w:iCs/>
          <w:color w:val="242424"/>
          <w:sz w:val="18"/>
          <w:szCs w:val="18"/>
          <w:shd w:val="clear" w:color="auto" w:fill="FFFFFF"/>
        </w:rPr>
        <w:t xml:space="preserve"> et </w:t>
      </w:r>
      <w:r w:rsidRPr="00E20B9D">
        <w:rPr>
          <w:rFonts w:ascii="Arial" w:hAnsi="Arial" w:cs="Arial"/>
          <w:i/>
          <w:iCs/>
          <w:color w:val="242424"/>
          <w:sz w:val="18"/>
          <w:szCs w:val="18"/>
        </w:rPr>
        <w:t xml:space="preserve">régionales applicables </w:t>
      </w:r>
      <w:r w:rsidRPr="00E20B9D">
        <w:rPr>
          <w:rFonts w:ascii="Arial" w:hAnsi="Arial" w:cs="Arial"/>
          <w:i/>
          <w:iCs/>
          <w:color w:val="242424"/>
          <w:sz w:val="18"/>
          <w:szCs w:val="18"/>
          <w:shd w:val="clear" w:color="auto" w:fill="FFFFFF"/>
        </w:rPr>
        <w:t>à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industrie automobile,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adoption de réformes fiscales ou d</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autres modifications des lois et règlements fiscaux; la capacité de Stellantis</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 xml:space="preserve"> à élargir certaines de leurs marques à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 xml:space="preserve">échelle mondiale; sa capacité à offrir des produits innovants et attrayants; sa capacité à développer, fabriquer et vendre des véhicules dotés de caractéristiques avancées, notamment </w:t>
      </w:r>
      <w:r w:rsidRPr="00E20B9D">
        <w:rPr>
          <w:rFonts w:ascii="Arial" w:hAnsi="Arial" w:cs="Arial"/>
          <w:i/>
          <w:iCs/>
          <w:color w:val="242424"/>
          <w:sz w:val="18"/>
          <w:szCs w:val="18"/>
        </w:rPr>
        <w:t>l</w:t>
      </w:r>
      <w:r w:rsidR="000170E9">
        <w:rPr>
          <w:rFonts w:ascii="Arial" w:hAnsi="Arial" w:cs="Arial"/>
          <w:i/>
          <w:iCs/>
          <w:color w:val="242424"/>
          <w:sz w:val="18"/>
          <w:szCs w:val="18"/>
        </w:rPr>
        <w:t>’</w:t>
      </w:r>
      <w:r w:rsidRPr="00E20B9D">
        <w:rPr>
          <w:rFonts w:ascii="Arial" w:hAnsi="Arial" w:cs="Arial"/>
          <w:i/>
          <w:iCs/>
          <w:color w:val="242424"/>
          <w:sz w:val="18"/>
          <w:szCs w:val="18"/>
        </w:rPr>
        <w:t>amélioration de l</w:t>
      </w:r>
      <w:r w:rsidR="000170E9">
        <w:rPr>
          <w:rFonts w:ascii="Arial" w:hAnsi="Arial" w:cs="Arial"/>
          <w:i/>
          <w:iCs/>
          <w:color w:val="242424"/>
          <w:sz w:val="18"/>
          <w:szCs w:val="18"/>
        </w:rPr>
        <w:t>’</w:t>
      </w:r>
      <w:r w:rsidRPr="00E20B9D">
        <w:rPr>
          <w:rFonts w:ascii="Arial" w:hAnsi="Arial" w:cs="Arial"/>
          <w:i/>
          <w:iCs/>
          <w:color w:val="242424"/>
          <w:sz w:val="18"/>
          <w:szCs w:val="18"/>
          <w:shd w:val="clear" w:color="auto" w:fill="FFFFFF"/>
        </w:rPr>
        <w:t xml:space="preserve">électrification, </w:t>
      </w:r>
      <w:r w:rsidRPr="00E20B9D">
        <w:rPr>
          <w:rFonts w:ascii="Arial" w:hAnsi="Arial" w:cs="Arial"/>
          <w:i/>
          <w:iCs/>
          <w:color w:val="242424"/>
          <w:sz w:val="18"/>
          <w:szCs w:val="18"/>
        </w:rPr>
        <w:t xml:space="preserve">de la </w:t>
      </w:r>
      <w:r w:rsidRPr="00E20B9D">
        <w:rPr>
          <w:rFonts w:ascii="Arial" w:hAnsi="Arial" w:cs="Arial"/>
          <w:i/>
          <w:iCs/>
          <w:color w:val="242424"/>
          <w:sz w:val="18"/>
          <w:szCs w:val="18"/>
          <w:shd w:val="clear" w:color="auto" w:fill="FFFFFF"/>
        </w:rPr>
        <w:t xml:space="preserve">connectivité et des caractéristiques de conduite autonome; </w:t>
      </w:r>
      <w:r w:rsidRPr="00E20B9D">
        <w:rPr>
          <w:rFonts w:ascii="Arial" w:hAnsi="Arial" w:cs="Arial"/>
          <w:i/>
          <w:iCs/>
          <w:color w:val="242424"/>
          <w:sz w:val="18"/>
          <w:szCs w:val="18"/>
        </w:rPr>
        <w:t xml:space="preserve">tous </w:t>
      </w:r>
      <w:r w:rsidRPr="00E20B9D">
        <w:rPr>
          <w:rFonts w:ascii="Arial" w:hAnsi="Arial" w:cs="Arial"/>
          <w:i/>
          <w:iCs/>
          <w:color w:val="242424"/>
          <w:sz w:val="18"/>
          <w:szCs w:val="18"/>
          <w:shd w:val="clear" w:color="auto" w:fill="FFFFFF"/>
        </w:rPr>
        <w:t xml:space="preserve">types </w:t>
      </w:r>
      <w:r w:rsidRPr="00E20B9D">
        <w:rPr>
          <w:rFonts w:ascii="Arial" w:hAnsi="Arial" w:cs="Arial"/>
          <w:i/>
          <w:iCs/>
          <w:color w:val="242424"/>
          <w:sz w:val="18"/>
          <w:szCs w:val="18"/>
        </w:rPr>
        <w:t>d</w:t>
      </w:r>
      <w:r w:rsidR="000170E9">
        <w:rPr>
          <w:rFonts w:ascii="Arial" w:hAnsi="Arial" w:cs="Arial"/>
          <w:i/>
          <w:iCs/>
          <w:color w:val="242424"/>
          <w:sz w:val="18"/>
          <w:szCs w:val="18"/>
        </w:rPr>
        <w:t>’</w:t>
      </w:r>
      <w:r w:rsidRPr="00E20B9D">
        <w:rPr>
          <w:rFonts w:ascii="Arial" w:hAnsi="Arial" w:cs="Arial"/>
          <w:i/>
          <w:iCs/>
          <w:color w:val="242424"/>
          <w:sz w:val="18"/>
          <w:szCs w:val="18"/>
        </w:rPr>
        <w:t xml:space="preserve">actions, </w:t>
      </w:r>
      <w:r w:rsidRPr="00E20B9D">
        <w:rPr>
          <w:rFonts w:ascii="Arial" w:hAnsi="Arial" w:cs="Arial"/>
          <w:i/>
          <w:iCs/>
          <w:color w:val="242424"/>
          <w:sz w:val="18"/>
          <w:szCs w:val="18"/>
          <w:shd w:val="clear" w:color="auto" w:fill="FFFFFF"/>
        </w:rPr>
        <w:t>de réclamations, de poursuites judiciaires, d</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enquêtes gouvernementales et d</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 xml:space="preserve">autres </w:t>
      </w:r>
      <w:r w:rsidRPr="00E20B9D">
        <w:rPr>
          <w:rFonts w:ascii="Arial" w:hAnsi="Arial" w:cs="Arial"/>
          <w:i/>
          <w:iCs/>
          <w:color w:val="242424"/>
          <w:sz w:val="18"/>
          <w:szCs w:val="18"/>
        </w:rPr>
        <w:t xml:space="preserve">évènements </w:t>
      </w:r>
      <w:r w:rsidRPr="00E20B9D">
        <w:rPr>
          <w:rFonts w:ascii="Arial" w:hAnsi="Arial" w:cs="Arial"/>
          <w:i/>
          <w:iCs/>
          <w:color w:val="242424"/>
          <w:sz w:val="18"/>
          <w:szCs w:val="18"/>
          <w:shd w:val="clear" w:color="auto" w:fill="FFFFFF"/>
        </w:rPr>
        <w:t xml:space="preserve">imprévus, y compris </w:t>
      </w:r>
      <w:r w:rsidRPr="00E20B9D">
        <w:rPr>
          <w:rFonts w:ascii="Arial" w:hAnsi="Arial" w:cs="Arial"/>
          <w:i/>
          <w:iCs/>
          <w:color w:val="242424"/>
          <w:sz w:val="18"/>
          <w:szCs w:val="18"/>
        </w:rPr>
        <w:t xml:space="preserve">toutes </w:t>
      </w:r>
      <w:r w:rsidRPr="00E20B9D">
        <w:rPr>
          <w:rFonts w:ascii="Arial" w:hAnsi="Arial" w:cs="Arial"/>
          <w:i/>
          <w:iCs/>
          <w:color w:val="242424"/>
          <w:sz w:val="18"/>
          <w:szCs w:val="18"/>
          <w:shd w:val="clear" w:color="auto" w:fill="FFFFFF"/>
        </w:rPr>
        <w:t xml:space="preserve">réclamations relatives à la responsabilité </w:t>
      </w:r>
      <w:r w:rsidRPr="00E20B9D">
        <w:rPr>
          <w:rFonts w:ascii="Arial" w:hAnsi="Arial" w:cs="Arial"/>
          <w:i/>
          <w:iCs/>
          <w:color w:val="242424"/>
          <w:sz w:val="18"/>
          <w:szCs w:val="18"/>
        </w:rPr>
        <w:t xml:space="preserve">du fait des produits défectueux </w:t>
      </w:r>
      <w:r w:rsidRPr="00E20B9D">
        <w:rPr>
          <w:rFonts w:ascii="Arial" w:hAnsi="Arial" w:cs="Arial"/>
          <w:i/>
          <w:iCs/>
          <w:color w:val="242424"/>
          <w:sz w:val="18"/>
          <w:szCs w:val="18"/>
          <w:shd w:val="clear" w:color="auto" w:fill="FFFFFF"/>
        </w:rPr>
        <w:t>et à la garantie des produits et les réclamations relatives à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environnement, les enquêtes et les poursuites</w:t>
      </w:r>
      <w:r w:rsidRPr="00E20B9D">
        <w:rPr>
          <w:rFonts w:ascii="Arial" w:hAnsi="Arial" w:cs="Arial"/>
          <w:i/>
          <w:iCs/>
          <w:color w:val="242424"/>
          <w:sz w:val="18"/>
          <w:szCs w:val="18"/>
        </w:rPr>
        <w:t xml:space="preserve"> judiciaires</w:t>
      </w:r>
      <w:r w:rsidRPr="00E20B9D">
        <w:rPr>
          <w:rFonts w:ascii="Arial" w:hAnsi="Arial" w:cs="Arial"/>
          <w:i/>
          <w:iCs/>
          <w:color w:val="242424"/>
          <w:sz w:val="18"/>
          <w:szCs w:val="18"/>
          <w:shd w:val="clear" w:color="auto" w:fill="FFFFFF"/>
        </w:rPr>
        <w:t>; les dépenses significatives d</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exploitation en ce qui concerne le respect des règlements en matière d</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environnement, de santé et de sécurité;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intensité de la concurrence dans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industrie automobile, qui peut augmenter en raison de la consolidation;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 xml:space="preserve">exposition à des </w:t>
      </w:r>
      <w:r w:rsidRPr="00E20B9D">
        <w:rPr>
          <w:rFonts w:ascii="Arial" w:hAnsi="Arial" w:cs="Arial"/>
          <w:i/>
          <w:iCs/>
          <w:color w:val="242424"/>
          <w:sz w:val="18"/>
          <w:szCs w:val="18"/>
        </w:rPr>
        <w:t xml:space="preserve">déficits </w:t>
      </w:r>
      <w:r w:rsidRPr="00E20B9D">
        <w:rPr>
          <w:rFonts w:ascii="Arial" w:hAnsi="Arial" w:cs="Arial"/>
          <w:i/>
          <w:iCs/>
          <w:color w:val="242424"/>
          <w:sz w:val="18"/>
          <w:szCs w:val="18"/>
          <w:shd w:val="clear" w:color="auto" w:fill="FFFFFF"/>
        </w:rPr>
        <w:t>dans le financement des régimes de retraite à prestations définies de Stellantis; la capacité de fournir ou d</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organiser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 xml:space="preserve">accès à un financement adéquat pour les concessionnaires et les </w:t>
      </w:r>
      <w:r w:rsidRPr="00E20B9D">
        <w:rPr>
          <w:rFonts w:ascii="Arial" w:hAnsi="Arial" w:cs="Arial"/>
          <w:i/>
          <w:iCs/>
          <w:color w:val="242424"/>
          <w:sz w:val="18"/>
          <w:szCs w:val="18"/>
        </w:rPr>
        <w:t>consommateurs</w:t>
      </w:r>
      <w:r w:rsidRPr="00E20B9D">
        <w:rPr>
          <w:rFonts w:ascii="Arial" w:hAnsi="Arial" w:cs="Arial"/>
          <w:i/>
          <w:iCs/>
          <w:color w:val="242424"/>
          <w:sz w:val="18"/>
          <w:szCs w:val="18"/>
          <w:shd w:val="clear" w:color="auto" w:fill="FFFFFF"/>
        </w:rPr>
        <w:t xml:space="preserve"> et les risques associés à la création et </w:t>
      </w:r>
      <w:r w:rsidRPr="00E20B9D">
        <w:rPr>
          <w:rFonts w:ascii="Arial" w:hAnsi="Arial" w:cs="Arial"/>
          <w:i/>
          <w:iCs/>
          <w:color w:val="242424"/>
          <w:sz w:val="18"/>
          <w:szCs w:val="18"/>
        </w:rPr>
        <w:t>exploitation</w:t>
      </w:r>
      <w:r w:rsidRPr="00E20B9D">
        <w:rPr>
          <w:rFonts w:ascii="Arial" w:hAnsi="Arial" w:cs="Arial"/>
          <w:i/>
          <w:iCs/>
          <w:color w:val="242424"/>
          <w:sz w:val="18"/>
          <w:szCs w:val="18"/>
          <w:shd w:val="clear" w:color="auto" w:fill="FFFFFF"/>
        </w:rPr>
        <w:t xml:space="preserve"> de sociétés de services financiers; la possibilité d</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 xml:space="preserve">obtenir des financements pour </w:t>
      </w:r>
      <w:r w:rsidRPr="00E20B9D">
        <w:rPr>
          <w:rFonts w:ascii="Arial" w:hAnsi="Arial" w:cs="Arial"/>
          <w:i/>
          <w:iCs/>
          <w:color w:val="242424"/>
          <w:sz w:val="18"/>
          <w:szCs w:val="18"/>
        </w:rPr>
        <w:t>réaliser les stratégies commerciales</w:t>
      </w:r>
      <w:r w:rsidRPr="00E20B9D">
        <w:rPr>
          <w:rFonts w:ascii="Arial" w:hAnsi="Arial" w:cs="Arial"/>
          <w:i/>
          <w:iCs/>
          <w:color w:val="242424"/>
          <w:sz w:val="18"/>
          <w:szCs w:val="18"/>
          <w:shd w:val="clear" w:color="auto" w:fill="FFFFFF"/>
        </w:rPr>
        <w:t xml:space="preserve"> de Stellantis et améliorer ses activités, sa situation financière et ses résultats; un dysfonctionnement</w:t>
      </w:r>
      <w:r w:rsidRPr="00E20B9D">
        <w:rPr>
          <w:rFonts w:ascii="Arial" w:hAnsi="Arial" w:cs="Arial"/>
          <w:i/>
          <w:iCs/>
          <w:color w:val="242424"/>
          <w:sz w:val="18"/>
          <w:szCs w:val="18"/>
        </w:rPr>
        <w:t xml:space="preserve"> majeur</w:t>
      </w:r>
      <w:r w:rsidRPr="00E20B9D">
        <w:rPr>
          <w:rFonts w:ascii="Arial" w:hAnsi="Arial" w:cs="Arial"/>
          <w:i/>
          <w:iCs/>
          <w:color w:val="242424"/>
          <w:sz w:val="18"/>
          <w:szCs w:val="18"/>
          <w:shd w:val="clear" w:color="auto" w:fill="FFFFFF"/>
        </w:rPr>
        <w:t xml:space="preserve">, une perturbation ou une atteinte à la sécurité </w:t>
      </w:r>
      <w:r w:rsidRPr="00E20B9D">
        <w:rPr>
          <w:rFonts w:ascii="Arial" w:hAnsi="Arial" w:cs="Arial"/>
          <w:i/>
          <w:iCs/>
          <w:color w:val="242424"/>
          <w:sz w:val="18"/>
          <w:szCs w:val="18"/>
        </w:rPr>
        <w:t xml:space="preserve">majeure </w:t>
      </w:r>
      <w:r w:rsidRPr="00E20B9D">
        <w:rPr>
          <w:rFonts w:ascii="Arial" w:hAnsi="Arial" w:cs="Arial"/>
          <w:i/>
          <w:iCs/>
          <w:color w:val="242424"/>
          <w:sz w:val="18"/>
          <w:szCs w:val="18"/>
          <w:shd w:val="clear" w:color="auto" w:fill="FFFFFF"/>
        </w:rPr>
        <w:t>affectant les systèmes de technologie de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 xml:space="preserve">information ou les systèmes de contrôle électronique </w:t>
      </w:r>
      <w:r w:rsidRPr="00E20B9D">
        <w:rPr>
          <w:rFonts w:ascii="Arial" w:hAnsi="Arial" w:cs="Arial"/>
          <w:i/>
          <w:iCs/>
          <w:color w:val="242424"/>
          <w:sz w:val="18"/>
          <w:szCs w:val="18"/>
        </w:rPr>
        <w:t xml:space="preserve">embarqués </w:t>
      </w:r>
      <w:r w:rsidRPr="00E20B9D">
        <w:rPr>
          <w:rFonts w:ascii="Arial" w:hAnsi="Arial" w:cs="Arial"/>
          <w:i/>
          <w:iCs/>
          <w:color w:val="242424"/>
          <w:sz w:val="18"/>
          <w:szCs w:val="18"/>
          <w:shd w:val="clear" w:color="auto" w:fill="FFFFFF"/>
        </w:rPr>
        <w:t>dans les véhicules de Stellantis; la capacité de Stellantis à exploiter les avantages escomptés des ententes de co-entreprise; les perturbations résultant de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instabilité politique, sociale et économique; les risques associés à nos relations avec les employés, les concessionnaires et les fournisseurs;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augmentation des coûts,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interruption de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approvisionnement ou la pénurie de matières premières, de pièces, de composants et de systèmes utilisés dans les véhicules de Stellantis;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 xml:space="preserve">évolution </w:t>
      </w:r>
      <w:r w:rsidRPr="00E20B9D">
        <w:rPr>
          <w:rFonts w:ascii="Arial" w:hAnsi="Arial" w:cs="Arial"/>
          <w:i/>
          <w:iCs/>
          <w:color w:val="242424"/>
          <w:sz w:val="18"/>
          <w:szCs w:val="18"/>
        </w:rPr>
        <w:t>du marché</w:t>
      </w:r>
      <w:r w:rsidRPr="00E20B9D">
        <w:rPr>
          <w:rFonts w:ascii="Arial" w:hAnsi="Arial" w:cs="Arial"/>
          <w:i/>
          <w:iCs/>
          <w:color w:val="242424"/>
          <w:sz w:val="18"/>
          <w:szCs w:val="18"/>
          <w:shd w:val="clear" w:color="auto" w:fill="FFFFFF"/>
        </w:rPr>
        <w:t xml:space="preserve"> du travail</w:t>
      </w:r>
      <w:r w:rsidRPr="00E20B9D">
        <w:rPr>
          <w:rFonts w:ascii="Arial" w:hAnsi="Arial" w:cs="Arial"/>
          <w:i/>
          <w:iCs/>
          <w:color w:val="242424"/>
          <w:sz w:val="18"/>
          <w:szCs w:val="18"/>
        </w:rPr>
        <w:t xml:space="preserve"> et des conditions de travail </w:t>
      </w:r>
      <w:r w:rsidRPr="00E20B9D">
        <w:rPr>
          <w:rFonts w:ascii="Arial" w:hAnsi="Arial" w:cs="Arial"/>
          <w:i/>
          <w:iCs/>
          <w:color w:val="242424"/>
          <w:sz w:val="18"/>
          <w:szCs w:val="18"/>
          <w:shd w:val="clear" w:color="auto" w:fill="FFFFFF"/>
        </w:rPr>
        <w:t>et l</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évolution du droit du travail applicable; fluctuations des taux de change, variations des taux d</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 xml:space="preserve">intérêt, risque de crédit et autres risques </w:t>
      </w:r>
      <w:r w:rsidRPr="00E20B9D">
        <w:rPr>
          <w:rFonts w:ascii="Arial" w:hAnsi="Arial" w:cs="Arial"/>
          <w:i/>
          <w:iCs/>
          <w:color w:val="242424"/>
          <w:sz w:val="18"/>
          <w:szCs w:val="18"/>
        </w:rPr>
        <w:t xml:space="preserve">de </w:t>
      </w:r>
      <w:r w:rsidRPr="00E20B9D">
        <w:rPr>
          <w:rFonts w:ascii="Arial" w:hAnsi="Arial" w:cs="Arial"/>
          <w:i/>
          <w:iCs/>
          <w:color w:val="242424"/>
          <w:sz w:val="18"/>
          <w:szCs w:val="18"/>
          <w:shd w:val="clear" w:color="auto" w:fill="FFFFFF"/>
        </w:rPr>
        <w:t xml:space="preserve">marché; troubles politiques et civils; tremblements de terre ou </w:t>
      </w:r>
      <w:r w:rsidRPr="00E20B9D">
        <w:rPr>
          <w:rFonts w:ascii="Arial" w:hAnsi="Arial" w:cs="Arial"/>
          <w:i/>
          <w:iCs/>
          <w:color w:val="242424"/>
          <w:sz w:val="18"/>
          <w:szCs w:val="18"/>
        </w:rPr>
        <w:t xml:space="preserve">toute </w:t>
      </w:r>
      <w:r w:rsidRPr="00E20B9D">
        <w:rPr>
          <w:rFonts w:ascii="Arial" w:hAnsi="Arial" w:cs="Arial"/>
          <w:i/>
          <w:iCs/>
          <w:color w:val="242424"/>
          <w:sz w:val="18"/>
          <w:szCs w:val="18"/>
          <w:shd w:val="clear" w:color="auto" w:fill="FFFFFF"/>
        </w:rPr>
        <w:t>autre catastrophe; et autres risques et incertitudes.</w:t>
      </w:r>
    </w:p>
    <w:p w14:paraId="409E0B7B" w14:textId="7062521D" w:rsidR="00D01C4B" w:rsidRPr="00E20B9D" w:rsidRDefault="00D01C4B" w:rsidP="00D01C4B">
      <w:pPr>
        <w:spacing w:after="0"/>
        <w:rPr>
          <w:rFonts w:ascii="Arial" w:hAnsi="Arial" w:cs="Arial"/>
          <w:i/>
          <w:iCs/>
          <w:color w:val="242424"/>
          <w:sz w:val="18"/>
          <w:szCs w:val="18"/>
          <w:shd w:val="clear" w:color="auto" w:fill="FFFFFF"/>
        </w:rPr>
      </w:pPr>
      <w:r w:rsidRPr="00E20B9D">
        <w:rPr>
          <w:rFonts w:ascii="Arial" w:hAnsi="Arial" w:cs="Arial"/>
          <w:i/>
          <w:iCs/>
          <w:color w:val="242424"/>
          <w:sz w:val="18"/>
          <w:szCs w:val="18"/>
          <w:shd w:val="clear" w:color="auto" w:fill="FFFFFF"/>
        </w:rPr>
        <w:t>Toutes les déclarations prospectives contenues dans la présente communication ne sont valables qu</w:t>
      </w:r>
      <w:r w:rsidR="000170E9">
        <w:rPr>
          <w:rFonts w:ascii="Arial" w:hAnsi="Arial" w:cs="Arial"/>
          <w:i/>
          <w:iCs/>
          <w:color w:val="242424"/>
          <w:sz w:val="18"/>
          <w:szCs w:val="18"/>
          <w:shd w:val="clear" w:color="auto" w:fill="FFFFFF"/>
        </w:rPr>
        <w:t>’</w:t>
      </w:r>
      <w:r w:rsidRPr="00E20B9D">
        <w:rPr>
          <w:rFonts w:ascii="Arial" w:hAnsi="Arial" w:cs="Arial"/>
          <w:i/>
          <w:iCs/>
          <w:color w:val="242424"/>
          <w:sz w:val="18"/>
          <w:szCs w:val="18"/>
          <w:shd w:val="clear" w:color="auto" w:fill="FFFFFF"/>
        </w:rPr>
        <w:t xml:space="preserve">à la date du présent document et Stellantis rejette toute obligation de mettre à jour ou de réviser les déclarations prospectives. De plus amples renseignements sur Stellantis et ses entreprises, y compris les facteurs qui pourraient avoir une incidence importante sur les résultats financiers de Stellantis, sont inclus dans les rapports et les </w:t>
      </w:r>
      <w:r w:rsidRPr="00E20B9D">
        <w:rPr>
          <w:rFonts w:ascii="Arial" w:hAnsi="Arial" w:cs="Arial"/>
          <w:i/>
          <w:iCs/>
          <w:color w:val="242424"/>
          <w:sz w:val="18"/>
          <w:szCs w:val="18"/>
        </w:rPr>
        <w:t xml:space="preserve">documents </w:t>
      </w:r>
      <w:r w:rsidRPr="00E20B9D">
        <w:rPr>
          <w:rFonts w:ascii="Arial" w:hAnsi="Arial" w:cs="Arial"/>
          <w:i/>
          <w:iCs/>
          <w:color w:val="242424"/>
          <w:sz w:val="18"/>
          <w:szCs w:val="18"/>
          <w:shd w:val="clear" w:color="auto" w:fill="FFFFFF"/>
        </w:rPr>
        <w:t>de Stellantis</w:t>
      </w:r>
      <w:r w:rsidRPr="00E20B9D">
        <w:rPr>
          <w:rFonts w:ascii="Arial" w:hAnsi="Arial" w:cs="Arial"/>
          <w:i/>
          <w:iCs/>
          <w:color w:val="242424"/>
          <w:sz w:val="18"/>
          <w:szCs w:val="18"/>
        </w:rPr>
        <w:t xml:space="preserve"> déposés</w:t>
      </w:r>
      <w:r w:rsidRPr="00E20B9D">
        <w:rPr>
          <w:rFonts w:ascii="Arial" w:hAnsi="Arial" w:cs="Arial"/>
          <w:i/>
          <w:iCs/>
          <w:color w:val="242424"/>
          <w:sz w:val="18"/>
          <w:szCs w:val="18"/>
          <w:shd w:val="clear" w:color="auto" w:fill="FFFFFF"/>
        </w:rPr>
        <w:t xml:space="preserve"> auprès de la Securities and Exchange Commission des États-Unis (SEC) et</w:t>
      </w:r>
      <w:r w:rsidRPr="00E20B9D">
        <w:rPr>
          <w:rFonts w:ascii="Arial" w:hAnsi="Arial" w:cs="Arial"/>
          <w:i/>
          <w:iCs/>
          <w:color w:val="242424"/>
          <w:sz w:val="18"/>
          <w:szCs w:val="18"/>
        </w:rPr>
        <w:t xml:space="preserve"> de l</w:t>
      </w:r>
      <w:r w:rsidR="000170E9">
        <w:rPr>
          <w:rFonts w:ascii="Arial" w:hAnsi="Arial" w:cs="Arial"/>
          <w:i/>
          <w:iCs/>
          <w:color w:val="242424"/>
          <w:sz w:val="18"/>
          <w:szCs w:val="18"/>
        </w:rPr>
        <w:t>’</w:t>
      </w:r>
      <w:r w:rsidRPr="00E20B9D">
        <w:rPr>
          <w:rFonts w:ascii="Arial" w:hAnsi="Arial" w:cs="Arial"/>
          <w:i/>
          <w:iCs/>
          <w:color w:val="242424"/>
          <w:sz w:val="18"/>
          <w:szCs w:val="18"/>
        </w:rPr>
        <w:t>autorité des marchés financiers Néerlandaise (</w:t>
      </w:r>
      <w:r w:rsidRPr="00E20B9D">
        <w:rPr>
          <w:rFonts w:ascii="Arial" w:hAnsi="Arial" w:cs="Arial"/>
          <w:i/>
          <w:iCs/>
          <w:color w:val="242424"/>
          <w:sz w:val="18"/>
          <w:szCs w:val="18"/>
          <w:shd w:val="clear" w:color="auto" w:fill="FFFFFF"/>
        </w:rPr>
        <w:t>AFM).</w:t>
      </w:r>
    </w:p>
    <w:p w14:paraId="5D67444A" w14:textId="77777777" w:rsidR="00D90200" w:rsidRDefault="00D90200">
      <w:pPr>
        <w:spacing w:after="0"/>
        <w:jc w:val="left"/>
        <w:rPr>
          <w:b/>
          <w:i/>
          <w:sz w:val="16"/>
          <w:szCs w:val="16"/>
        </w:rPr>
      </w:pPr>
    </w:p>
    <w:sectPr w:rsidR="00D90200" w:rsidSect="00151FE1">
      <w:footerReference w:type="default" r:id="rId16"/>
      <w:headerReference w:type="first" r:id="rId17"/>
      <w:pgSz w:w="12242" w:h="15842"/>
      <w:pgMar w:top="1134" w:right="1928" w:bottom="709" w:left="1928" w:header="1021" w:footer="4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CC58" w14:textId="77777777" w:rsidR="006D4E94" w:rsidRDefault="006D4E94">
      <w:pPr>
        <w:spacing w:after="0"/>
      </w:pPr>
      <w:r>
        <w:separator/>
      </w:r>
    </w:p>
  </w:endnote>
  <w:endnote w:type="continuationSeparator" w:id="0">
    <w:p w14:paraId="0F211F5B" w14:textId="77777777" w:rsidR="006D4E94" w:rsidRDefault="006D4E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Expanded">
    <w:altName w:val="Times New Roman"/>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6B1F" w14:textId="77777777" w:rsidR="006D4E94" w:rsidRDefault="006D4E94">
      <w:pPr>
        <w:spacing w:after="0"/>
      </w:pPr>
      <w:r>
        <w:separator/>
      </w:r>
    </w:p>
  </w:footnote>
  <w:footnote w:type="continuationSeparator" w:id="0">
    <w:p w14:paraId="6D4A554C" w14:textId="77777777" w:rsidR="006D4E94" w:rsidRDefault="006D4E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6D5FF5EA" w:rsidR="00D90200" w:rsidRPr="004E387D" w:rsidRDefault="004E387D" w:rsidP="004E387D">
    <w:pPr>
      <w:pStyle w:val="Header"/>
    </w:pPr>
    <w:r>
      <w:rPr>
        <w:noProof/>
        <w:color w:val="243782"/>
        <w:lang w:val="en-US"/>
      </w:rPr>
      <w:drawing>
        <wp:inline distT="0" distB="0" distL="0" distR="0" wp14:anchorId="1569F18B" wp14:editId="1917AF29">
          <wp:extent cx="5325110" cy="610235"/>
          <wp:effectExtent l="0" t="0" r="889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NTIS-VULCAN.png"/>
                  <pic:cNvPicPr/>
                </pic:nvPicPr>
                <pic:blipFill>
                  <a:blip r:embed="rId1">
                    <a:extLst>
                      <a:ext uri="{28A0092B-C50C-407E-A947-70E740481C1C}">
                        <a14:useLocalDpi xmlns:a14="http://schemas.microsoft.com/office/drawing/2010/main" val="0"/>
                      </a:ext>
                    </a:extLst>
                  </a:blip>
                  <a:stretch>
                    <a:fillRect/>
                  </a:stretch>
                </pic:blipFill>
                <pic:spPr>
                  <a:xfrm>
                    <a:off x="0" y="0"/>
                    <a:ext cx="5325110" cy="610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127F3"/>
    <w:rsid w:val="000170E9"/>
    <w:rsid w:val="000403C6"/>
    <w:rsid w:val="0006441F"/>
    <w:rsid w:val="000B0968"/>
    <w:rsid w:val="000B2E42"/>
    <w:rsid w:val="000C5A52"/>
    <w:rsid w:val="000D0AC3"/>
    <w:rsid w:val="00100E33"/>
    <w:rsid w:val="00115CA3"/>
    <w:rsid w:val="00123307"/>
    <w:rsid w:val="00151FE1"/>
    <w:rsid w:val="00162B39"/>
    <w:rsid w:val="00172B2C"/>
    <w:rsid w:val="0019432C"/>
    <w:rsid w:val="00195133"/>
    <w:rsid w:val="001A14C2"/>
    <w:rsid w:val="001A3B61"/>
    <w:rsid w:val="001B7F90"/>
    <w:rsid w:val="001C1D40"/>
    <w:rsid w:val="001D10B3"/>
    <w:rsid w:val="001D1BD9"/>
    <w:rsid w:val="001E145E"/>
    <w:rsid w:val="00202659"/>
    <w:rsid w:val="00206526"/>
    <w:rsid w:val="002074AC"/>
    <w:rsid w:val="00211BDA"/>
    <w:rsid w:val="00214934"/>
    <w:rsid w:val="002232A1"/>
    <w:rsid w:val="00247709"/>
    <w:rsid w:val="0025678C"/>
    <w:rsid w:val="002B72BF"/>
    <w:rsid w:val="002C77BE"/>
    <w:rsid w:val="002D3D59"/>
    <w:rsid w:val="002D43AD"/>
    <w:rsid w:val="002D67E6"/>
    <w:rsid w:val="002D6E8E"/>
    <w:rsid w:val="003062BC"/>
    <w:rsid w:val="00306BC9"/>
    <w:rsid w:val="00374F28"/>
    <w:rsid w:val="0037579C"/>
    <w:rsid w:val="003A105E"/>
    <w:rsid w:val="003C0EBE"/>
    <w:rsid w:val="003D21DF"/>
    <w:rsid w:val="003D6BE5"/>
    <w:rsid w:val="003D756D"/>
    <w:rsid w:val="00414EAA"/>
    <w:rsid w:val="00492DDE"/>
    <w:rsid w:val="004C37B7"/>
    <w:rsid w:val="004C48ED"/>
    <w:rsid w:val="004E29EF"/>
    <w:rsid w:val="004E387D"/>
    <w:rsid w:val="004F0A2C"/>
    <w:rsid w:val="004F2150"/>
    <w:rsid w:val="004F3BE9"/>
    <w:rsid w:val="004F7329"/>
    <w:rsid w:val="005062F7"/>
    <w:rsid w:val="005073F1"/>
    <w:rsid w:val="0051103C"/>
    <w:rsid w:val="00512922"/>
    <w:rsid w:val="00516057"/>
    <w:rsid w:val="00525318"/>
    <w:rsid w:val="00525726"/>
    <w:rsid w:val="00547AF9"/>
    <w:rsid w:val="0055767E"/>
    <w:rsid w:val="00572D4A"/>
    <w:rsid w:val="0058367F"/>
    <w:rsid w:val="005E4EB5"/>
    <w:rsid w:val="005F7F7C"/>
    <w:rsid w:val="00603F18"/>
    <w:rsid w:val="0061766E"/>
    <w:rsid w:val="00625C11"/>
    <w:rsid w:val="006262D2"/>
    <w:rsid w:val="00631BCB"/>
    <w:rsid w:val="006408CB"/>
    <w:rsid w:val="006613F3"/>
    <w:rsid w:val="006616BE"/>
    <w:rsid w:val="00680D18"/>
    <w:rsid w:val="006863D0"/>
    <w:rsid w:val="006B0CEC"/>
    <w:rsid w:val="006B2EB2"/>
    <w:rsid w:val="006D4E94"/>
    <w:rsid w:val="0071156E"/>
    <w:rsid w:val="0071381F"/>
    <w:rsid w:val="00733F13"/>
    <w:rsid w:val="007376E7"/>
    <w:rsid w:val="0076578D"/>
    <w:rsid w:val="00786615"/>
    <w:rsid w:val="007A17A2"/>
    <w:rsid w:val="007C1896"/>
    <w:rsid w:val="007F0624"/>
    <w:rsid w:val="007F30E2"/>
    <w:rsid w:val="008018C5"/>
    <w:rsid w:val="008170F0"/>
    <w:rsid w:val="00837A76"/>
    <w:rsid w:val="008535C7"/>
    <w:rsid w:val="008A0E8A"/>
    <w:rsid w:val="008B0A0F"/>
    <w:rsid w:val="008D26D0"/>
    <w:rsid w:val="00907495"/>
    <w:rsid w:val="00914E09"/>
    <w:rsid w:val="00925DB9"/>
    <w:rsid w:val="00980D9E"/>
    <w:rsid w:val="00991B50"/>
    <w:rsid w:val="0099793C"/>
    <w:rsid w:val="009A2719"/>
    <w:rsid w:val="009B2260"/>
    <w:rsid w:val="009B3485"/>
    <w:rsid w:val="009C39C6"/>
    <w:rsid w:val="009D083B"/>
    <w:rsid w:val="009D5DC6"/>
    <w:rsid w:val="009D782E"/>
    <w:rsid w:val="009D7CB7"/>
    <w:rsid w:val="00A237F3"/>
    <w:rsid w:val="00A651FC"/>
    <w:rsid w:val="00A906F0"/>
    <w:rsid w:val="00A9686E"/>
    <w:rsid w:val="00A976CF"/>
    <w:rsid w:val="00B27345"/>
    <w:rsid w:val="00B31E73"/>
    <w:rsid w:val="00B46A84"/>
    <w:rsid w:val="00B54574"/>
    <w:rsid w:val="00B57822"/>
    <w:rsid w:val="00B901C8"/>
    <w:rsid w:val="00BC4685"/>
    <w:rsid w:val="00BD74C3"/>
    <w:rsid w:val="00BE126A"/>
    <w:rsid w:val="00BE75A5"/>
    <w:rsid w:val="00C00E9B"/>
    <w:rsid w:val="00C334EF"/>
    <w:rsid w:val="00C42C0B"/>
    <w:rsid w:val="00C520FA"/>
    <w:rsid w:val="00C61685"/>
    <w:rsid w:val="00C818B8"/>
    <w:rsid w:val="00CA3AFC"/>
    <w:rsid w:val="00CA420F"/>
    <w:rsid w:val="00CB19A5"/>
    <w:rsid w:val="00CC0837"/>
    <w:rsid w:val="00CC15FE"/>
    <w:rsid w:val="00CC5C47"/>
    <w:rsid w:val="00CD319D"/>
    <w:rsid w:val="00CD3328"/>
    <w:rsid w:val="00D019D7"/>
    <w:rsid w:val="00D01C4B"/>
    <w:rsid w:val="00D3455C"/>
    <w:rsid w:val="00D40E54"/>
    <w:rsid w:val="00D74D35"/>
    <w:rsid w:val="00D90200"/>
    <w:rsid w:val="00DB7F49"/>
    <w:rsid w:val="00DD15FE"/>
    <w:rsid w:val="00DF61C4"/>
    <w:rsid w:val="00E06A59"/>
    <w:rsid w:val="00E071F9"/>
    <w:rsid w:val="00E11EDF"/>
    <w:rsid w:val="00E13473"/>
    <w:rsid w:val="00E15211"/>
    <w:rsid w:val="00E36F4A"/>
    <w:rsid w:val="00E653B0"/>
    <w:rsid w:val="00E669FB"/>
    <w:rsid w:val="00E759EE"/>
    <w:rsid w:val="00E76235"/>
    <w:rsid w:val="00E97FB7"/>
    <w:rsid w:val="00EB585F"/>
    <w:rsid w:val="00EC46E6"/>
    <w:rsid w:val="00EC4F3A"/>
    <w:rsid w:val="00EE3906"/>
    <w:rsid w:val="00EF0351"/>
    <w:rsid w:val="00F01B5A"/>
    <w:rsid w:val="00F455C0"/>
    <w:rsid w:val="00F5359D"/>
    <w:rsid w:val="00F54DDE"/>
    <w:rsid w:val="00F55FA4"/>
    <w:rsid w:val="00F62C02"/>
    <w:rsid w:val="00F72EB4"/>
    <w:rsid w:val="00F75BDD"/>
    <w:rsid w:val="00F76B60"/>
    <w:rsid w:val="00F76C4A"/>
    <w:rsid w:val="00F77D35"/>
    <w:rsid w:val="00F8752A"/>
    <w:rsid w:val="00F9493A"/>
    <w:rsid w:val="00FB58AF"/>
    <w:rsid w:val="00FE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w:eastAsia="Encode Sans Expanded" w:hAnsi="Encode Sans Expanded" w:cs="Encode Sans Expanded"/>
        <w:sz w:val="24"/>
        <w:szCs w:val="24"/>
        <w:lang w:val="fr-FR"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Mentionnonrsolue1">
    <w:name w:val="Mention non résolue1"/>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3D6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fr/finance/evenements/strategic-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llantis.com/fr/actualite/communiques-de-presse/2021/novembre/stellantis-signe-un-accord-d-approvisionnement-en-lithium-avec-vulcan-energ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 TargetMode="External"/><Relationship Id="rId5" Type="http://schemas.openxmlformats.org/officeDocument/2006/relationships/numbering" Target="numbering.xml"/><Relationship Id="rId15" Type="http://schemas.openxmlformats.org/officeDocument/2006/relationships/hyperlink" Target="https://www.stellantis.com/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fr/actualite/communiques-de-presse/2022/juin/stellantis-signe-un-accord-avec-controlled-thermal-resources-sur-un-approvisionnement-en-lithium-a-faibles-emissions-pour-la-production-de-ses-vehicules-electriques-en-amerique-du-n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232E791626D42A4209D08785B3EB2" ma:contentTypeVersion="10" ma:contentTypeDescription="Create a new document." ma:contentTypeScope="" ma:versionID="d694f9228558fe537cd3104b7819eff4">
  <xsd:schema xmlns:xsd="http://www.w3.org/2001/XMLSchema" xmlns:xs="http://www.w3.org/2001/XMLSchema" xmlns:p="http://schemas.microsoft.com/office/2006/metadata/properties" xmlns:ns3="ed291038-68af-44f8-9ebf-8e02159c5ab4" xmlns:ns4="07ab2334-74fa-4654-9f51-48ec6318f44c" targetNamespace="http://schemas.microsoft.com/office/2006/metadata/properties" ma:root="true" ma:fieldsID="d68cb19a36c0d559fb5d4b029ee2bb4e" ns3:_="" ns4:_="">
    <xsd:import namespace="ed291038-68af-44f8-9ebf-8e02159c5ab4"/>
    <xsd:import namespace="07ab2334-74fa-4654-9f51-48ec6318f4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91038-68af-44f8-9ebf-8e02159c5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b2334-74fa-4654-9f51-48ec6318f4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966D5-1E9A-4F75-A709-47669068B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91038-68af-44f8-9ebf-8e02159c5ab4"/>
    <ds:schemaRef ds:uri="07ab2334-74fa-4654-9f51-48ec6318f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7D9E67-E9AB-41C9-A428-35E0A2710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1627</Words>
  <Characters>9877</Characters>
  <Application>Microsoft Office Word</Application>
  <DocSecurity>0</DocSecurity>
  <Lines>159</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FCA US</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PAUL CRAIG JOHNSTON</cp:lastModifiedBy>
  <cp:revision>4</cp:revision>
  <dcterms:created xsi:type="dcterms:W3CDTF">2022-06-23T19:11:00Z</dcterms:created>
  <dcterms:modified xsi:type="dcterms:W3CDTF">2022-06-23T20:41:00Z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0x010100EF1232E791626D42A4209D08785B3EB2</vt:lpwstr>
  </property>
  <property fmtid="{D5CDD505-2E9C-101B-9397-08002B2CF9AE}" pid="5" name="MSIP_Label_2fd53d93-3f4c-4b90-b511-bd6bdbb4fba9_Enabled">
    <vt:lpwstr>true</vt:lpwstr>
  </property>
  <property fmtid="{D5CDD505-2E9C-101B-9397-08002B2CF9AE}" pid="6" name="MSIP_Label_2fd53d93-3f4c-4b90-b511-bd6bdbb4fba9_SetDate">
    <vt:lpwstr>2022-06-23T08:31:23Z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7be92dc7-c0a5-450f-a858-030b79f5ab2e</vt:lpwstr>
  </property>
  <property fmtid="{D5CDD505-2E9C-101B-9397-08002B2CF9AE}" pid="11" name="MSIP_Label_2fd53d93-3f4c-4b90-b511-bd6bdbb4fba9_ContentBits">
    <vt:lpwstr>0</vt:lpwstr>
  </property>
</Properties>
</file>