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299F441" w:rsidR="00D90200" w:rsidRPr="00044E26" w:rsidRDefault="00DA44D2" w:rsidP="5C3CA6D6">
      <w:pPr>
        <w:pBdr>
          <w:top w:val="nil"/>
          <w:left w:val="nil"/>
          <w:bottom w:val="nil"/>
          <w:right w:val="nil"/>
          <w:between w:val="nil"/>
        </w:pBdr>
        <w:spacing w:after="480"/>
        <w:jc w:val="center"/>
        <w:rPr>
          <w:rFonts w:ascii="Encode Sans" w:eastAsia="Arial" w:hAnsi="Encode Sans" w:cs="Arial"/>
          <w:b/>
          <w:bCs/>
          <w:color w:val="000000"/>
          <w:sz w:val="28"/>
          <w:szCs w:val="28"/>
        </w:rPr>
      </w:pPr>
      <w:proofErr w:type="spellStart"/>
      <w:r w:rsidRPr="5C3CA6D6">
        <w:rPr>
          <w:rFonts w:ascii="Encode Sans" w:hAnsi="Encode Sans"/>
          <w:b/>
          <w:bCs/>
          <w:color w:val="000000"/>
          <w:sz w:val="28"/>
          <w:szCs w:val="28"/>
        </w:rPr>
        <w:t>Stellantis</w:t>
      </w:r>
      <w:proofErr w:type="spellEnd"/>
      <w:r w:rsidRPr="5C3CA6D6">
        <w:rPr>
          <w:rFonts w:ascii="Encode Sans" w:hAnsi="Encode Sans"/>
          <w:b/>
          <w:bCs/>
          <w:color w:val="000000"/>
          <w:sz w:val="28"/>
          <w:szCs w:val="28"/>
        </w:rPr>
        <w:t xml:space="preserve"> signe un protocole d</w:t>
      </w:r>
      <w:r w:rsidR="00706414">
        <w:rPr>
          <w:rFonts w:ascii="Encode Sans" w:hAnsi="Encode Sans"/>
          <w:b/>
          <w:bCs/>
          <w:color w:val="000000"/>
          <w:sz w:val="28"/>
          <w:szCs w:val="28"/>
        </w:rPr>
        <w:t>’</w:t>
      </w:r>
      <w:r w:rsidRPr="5C3CA6D6">
        <w:rPr>
          <w:rFonts w:ascii="Encode Sans" w:hAnsi="Encode Sans"/>
          <w:b/>
          <w:bCs/>
          <w:color w:val="000000"/>
          <w:sz w:val="28"/>
          <w:szCs w:val="28"/>
        </w:rPr>
        <w:t>accord avec GME pour l</w:t>
      </w:r>
      <w:r w:rsidR="00706414">
        <w:rPr>
          <w:rFonts w:ascii="Encode Sans" w:hAnsi="Encode Sans"/>
          <w:b/>
          <w:bCs/>
          <w:color w:val="000000"/>
          <w:sz w:val="28"/>
          <w:szCs w:val="28"/>
        </w:rPr>
        <w:t>’</w:t>
      </w:r>
      <w:r w:rsidRPr="5C3CA6D6">
        <w:rPr>
          <w:rFonts w:ascii="Encode Sans" w:hAnsi="Encode Sans"/>
          <w:b/>
          <w:bCs/>
          <w:color w:val="000000"/>
          <w:sz w:val="28"/>
          <w:szCs w:val="28"/>
        </w:rPr>
        <w:t xml:space="preserve">achat futur de sulfate de nickel et de cobalt de qualité batterie </w:t>
      </w:r>
    </w:p>
    <w:p w14:paraId="1B8287BF" w14:textId="7A92E40B" w:rsidR="00D013CE" w:rsidRPr="00437B6E" w:rsidRDefault="00044E26" w:rsidP="00437B6E">
      <w:pPr>
        <w:pStyle w:val="ListParagraph"/>
        <w:numPr>
          <w:ilvl w:val="0"/>
          <w:numId w:val="4"/>
        </w:numPr>
        <w:spacing w:after="0"/>
        <w:rPr>
          <w:rFonts w:ascii="Encode Sans" w:eastAsia="Arial" w:hAnsi="Encode Sans" w:cs="Arial"/>
        </w:rPr>
      </w:pPr>
      <w:proofErr w:type="spellStart"/>
      <w:r w:rsidRPr="00437B6E">
        <w:rPr>
          <w:rFonts w:ascii="Encode Sans" w:hAnsi="Encode Sans"/>
        </w:rPr>
        <w:t>Stellantis</w:t>
      </w:r>
      <w:proofErr w:type="spellEnd"/>
      <w:r w:rsidRPr="00437B6E">
        <w:rPr>
          <w:rFonts w:ascii="Encode Sans" w:hAnsi="Encode Sans"/>
        </w:rPr>
        <w:t xml:space="preserve"> renforce </w:t>
      </w:r>
      <w:r w:rsidR="00F76566" w:rsidRPr="00437B6E">
        <w:rPr>
          <w:rFonts w:ascii="Encode Sans" w:hAnsi="Encode Sans"/>
        </w:rPr>
        <w:t>s</w:t>
      </w:r>
      <w:r w:rsidRPr="00437B6E">
        <w:rPr>
          <w:rFonts w:ascii="Encode Sans" w:hAnsi="Encode Sans"/>
        </w:rPr>
        <w:t xml:space="preserve">a chaîne de valeur pour la production de batteries de véhicules électriques </w:t>
      </w:r>
      <w:r w:rsidR="00E51B39" w:rsidRPr="00437B6E">
        <w:rPr>
          <w:rFonts w:ascii="Encode Sans" w:hAnsi="Encode Sans"/>
        </w:rPr>
        <w:t xml:space="preserve">en </w:t>
      </w:r>
      <w:r w:rsidR="00F76566" w:rsidRPr="00437B6E">
        <w:rPr>
          <w:rFonts w:ascii="Encode Sans" w:hAnsi="Encode Sans"/>
        </w:rPr>
        <w:t>phase avec</w:t>
      </w:r>
      <w:r w:rsidRPr="00437B6E">
        <w:rPr>
          <w:rFonts w:ascii="Encode Sans" w:hAnsi="Encode Sans"/>
        </w:rPr>
        <w:t xml:space="preserve"> les objectifs du </w:t>
      </w:r>
      <w:r w:rsidR="00E51B39" w:rsidRPr="00437B6E">
        <w:rPr>
          <w:rFonts w:ascii="Encode Sans" w:hAnsi="Encode Sans"/>
        </w:rPr>
        <w:t>P</w:t>
      </w:r>
      <w:r w:rsidRPr="00437B6E">
        <w:rPr>
          <w:rFonts w:ascii="Encode Sans" w:hAnsi="Encode Sans"/>
        </w:rPr>
        <w:t xml:space="preserve">lan </w:t>
      </w:r>
      <w:r w:rsidR="00E51B39" w:rsidRPr="00437B6E">
        <w:rPr>
          <w:rFonts w:ascii="Encode Sans" w:hAnsi="Encode Sans"/>
        </w:rPr>
        <w:t>S</w:t>
      </w:r>
      <w:r w:rsidRPr="00437B6E">
        <w:rPr>
          <w:rFonts w:ascii="Encode Sans" w:hAnsi="Encode Sans"/>
        </w:rPr>
        <w:t xml:space="preserve">tratégique Dare </w:t>
      </w:r>
      <w:proofErr w:type="spellStart"/>
      <w:r w:rsidRPr="00437B6E">
        <w:rPr>
          <w:rFonts w:ascii="Encode Sans" w:hAnsi="Encode Sans"/>
        </w:rPr>
        <w:t>Forward</w:t>
      </w:r>
      <w:proofErr w:type="spellEnd"/>
      <w:r w:rsidRPr="00437B6E">
        <w:rPr>
          <w:rFonts w:ascii="Encode Sans" w:hAnsi="Encode Sans"/>
        </w:rPr>
        <w:t xml:space="preserve"> 2030</w:t>
      </w:r>
    </w:p>
    <w:p w14:paraId="3C06AD10" w14:textId="3BC76442" w:rsidR="00DA44D2" w:rsidRPr="00437B6E" w:rsidRDefault="00F76566" w:rsidP="00437B6E">
      <w:pPr>
        <w:pStyle w:val="ListParagraph"/>
        <w:numPr>
          <w:ilvl w:val="0"/>
          <w:numId w:val="4"/>
        </w:numPr>
        <w:spacing w:after="0"/>
        <w:rPr>
          <w:rFonts w:ascii="Encode Sans" w:eastAsia="Arial" w:hAnsi="Encode Sans" w:cs="Arial"/>
        </w:rPr>
      </w:pPr>
      <w:r w:rsidRPr="00437B6E">
        <w:rPr>
          <w:rFonts w:ascii="Encode Sans" w:hAnsi="Encode Sans"/>
        </w:rPr>
        <w:t>C</w:t>
      </w:r>
      <w:r w:rsidR="004E3DDE" w:rsidRPr="00437B6E">
        <w:rPr>
          <w:rFonts w:ascii="Encode Sans" w:hAnsi="Encode Sans"/>
        </w:rPr>
        <w:t>e protocole d</w:t>
      </w:r>
      <w:r w:rsidR="00706414">
        <w:rPr>
          <w:rFonts w:ascii="Encode Sans" w:hAnsi="Encode Sans"/>
        </w:rPr>
        <w:t>’</w:t>
      </w:r>
      <w:r w:rsidR="004E3DDE" w:rsidRPr="00437B6E">
        <w:rPr>
          <w:rFonts w:ascii="Encode Sans" w:hAnsi="Encode Sans"/>
        </w:rPr>
        <w:t xml:space="preserve">accord </w:t>
      </w:r>
      <w:r w:rsidRPr="00437B6E">
        <w:rPr>
          <w:rFonts w:ascii="Encode Sans" w:hAnsi="Encode Sans"/>
        </w:rPr>
        <w:t xml:space="preserve">non contraignant </w:t>
      </w:r>
      <w:r w:rsidR="004E3DDE" w:rsidRPr="00437B6E">
        <w:rPr>
          <w:rFonts w:ascii="Encode Sans" w:hAnsi="Encode Sans"/>
        </w:rPr>
        <w:t>constitue la première étape d</w:t>
      </w:r>
      <w:r w:rsidR="00706414">
        <w:rPr>
          <w:rFonts w:ascii="Encode Sans" w:hAnsi="Encode Sans"/>
        </w:rPr>
        <w:t>’</w:t>
      </w:r>
      <w:r w:rsidR="004E3DDE" w:rsidRPr="00437B6E">
        <w:rPr>
          <w:rFonts w:ascii="Encode Sans" w:hAnsi="Encode Sans"/>
        </w:rPr>
        <w:t xml:space="preserve">un </w:t>
      </w:r>
      <w:r w:rsidR="00E51B39" w:rsidRPr="00437B6E">
        <w:rPr>
          <w:rFonts w:ascii="Encode Sans" w:hAnsi="Encode Sans"/>
        </w:rPr>
        <w:t xml:space="preserve">éventuel </w:t>
      </w:r>
      <w:r w:rsidR="004E3DDE" w:rsidRPr="00437B6E">
        <w:rPr>
          <w:rFonts w:ascii="Encode Sans" w:hAnsi="Encode Sans"/>
        </w:rPr>
        <w:t>partenariat à long terme pour l</w:t>
      </w:r>
      <w:r w:rsidR="00706414">
        <w:rPr>
          <w:rFonts w:ascii="Encode Sans" w:hAnsi="Encode Sans"/>
        </w:rPr>
        <w:t>’</w:t>
      </w:r>
      <w:r w:rsidR="004E3DDE" w:rsidRPr="00437B6E">
        <w:rPr>
          <w:rFonts w:ascii="Encode Sans" w:hAnsi="Encode Sans"/>
        </w:rPr>
        <w:t xml:space="preserve">achat futur de sulfate de nickel et de cobalt de qualité batterie provenant du projet </w:t>
      </w:r>
      <w:proofErr w:type="spellStart"/>
      <w:r w:rsidR="004E3DDE" w:rsidRPr="00437B6E">
        <w:rPr>
          <w:rFonts w:ascii="Encode Sans" w:hAnsi="Encode Sans"/>
        </w:rPr>
        <w:t>NiWest</w:t>
      </w:r>
      <w:proofErr w:type="spellEnd"/>
      <w:r w:rsidR="004E3DDE" w:rsidRPr="00437B6E">
        <w:rPr>
          <w:rFonts w:ascii="Encode Sans" w:hAnsi="Encode Sans"/>
        </w:rPr>
        <w:t xml:space="preserve"> Nickel-Cobalt </w:t>
      </w:r>
    </w:p>
    <w:p w14:paraId="06355130" w14:textId="77777777" w:rsidR="00D90200" w:rsidRPr="00044E26" w:rsidRDefault="00D90200" w:rsidP="00E51B39">
      <w:pPr>
        <w:shd w:val="clear" w:color="auto" w:fill="FFFFFF"/>
        <w:spacing w:after="0"/>
        <w:ind w:left="720"/>
        <w:rPr>
          <w:rFonts w:ascii="Encode Sans" w:eastAsia="Arial" w:hAnsi="Encode Sans" w:cs="Arial"/>
          <w:sz w:val="18"/>
          <w:szCs w:val="18"/>
        </w:rPr>
      </w:pPr>
    </w:p>
    <w:p w14:paraId="18C1383A" w14:textId="5E177C38" w:rsidR="00C818B8" w:rsidRPr="00044E26" w:rsidRDefault="00437B6E" w:rsidP="00437B6E">
      <w:pPr>
        <w:pBdr>
          <w:top w:val="nil"/>
          <w:left w:val="nil"/>
          <w:bottom w:val="nil"/>
          <w:right w:val="nil"/>
          <w:between w:val="nil"/>
        </w:pBdr>
        <w:rPr>
          <w:rFonts w:ascii="Encode Sans" w:eastAsia="Arial" w:hAnsi="Encode Sans" w:cs="Arial"/>
          <w:color w:val="000000"/>
          <w:sz w:val="22"/>
          <w:szCs w:val="22"/>
        </w:rPr>
      </w:pPr>
      <w:r>
        <w:rPr>
          <w:rFonts w:ascii="Encode Sans" w:hAnsi="Encode Sans"/>
          <w:b/>
          <w:color w:val="000000"/>
        </w:rPr>
        <w:t>10</w:t>
      </w:r>
      <w:r w:rsidRPr="00437B6E">
        <w:rPr>
          <w:rFonts w:ascii="Encode Sans" w:hAnsi="Encode Sans"/>
          <w:b/>
          <w:color w:val="000000"/>
        </w:rPr>
        <w:t xml:space="preserve"> </w:t>
      </w:r>
      <w:r w:rsidR="0011344A" w:rsidRPr="00437B6E">
        <w:rPr>
          <w:rFonts w:ascii="Encode Sans" w:hAnsi="Encode Sans"/>
          <w:b/>
          <w:color w:val="000000"/>
        </w:rPr>
        <w:t>octobre 2022, AMSTERDAM</w:t>
      </w:r>
      <w:r w:rsidR="0011344A" w:rsidRPr="00437B6E">
        <w:rPr>
          <w:rFonts w:ascii="Encode Sans" w:hAnsi="Encode Sans"/>
          <w:color w:val="000000"/>
        </w:rPr>
        <w:t xml:space="preserve"> – </w:t>
      </w:r>
      <w:hyperlink r:id="rId11" w:history="1">
        <w:proofErr w:type="spellStart"/>
        <w:r w:rsidR="0011344A" w:rsidRPr="00437B6E">
          <w:rPr>
            <w:rStyle w:val="Hyperlink"/>
            <w:rFonts w:ascii="Encode Sans" w:hAnsi="Encode Sans"/>
            <w:u w:val="single"/>
            <w:shd w:val="clear" w:color="auto" w:fill="FFFFFF"/>
          </w:rPr>
          <w:t>Stellantis</w:t>
        </w:r>
        <w:proofErr w:type="spellEnd"/>
        <w:r w:rsidR="0011344A" w:rsidRPr="00437B6E">
          <w:rPr>
            <w:rStyle w:val="Hyperlink"/>
            <w:rFonts w:ascii="Encode Sans" w:hAnsi="Encode Sans"/>
            <w:u w:val="single"/>
            <w:shd w:val="clear" w:color="auto" w:fill="FFFFFF"/>
          </w:rPr>
          <w:t xml:space="preserve"> N.V.</w:t>
        </w:r>
      </w:hyperlink>
      <w:r w:rsidR="0011344A" w:rsidRPr="00437B6E">
        <w:rPr>
          <w:rFonts w:ascii="Encode Sans" w:hAnsi="Encode Sans"/>
          <w:shd w:val="clear" w:color="auto" w:fill="FFFFFF"/>
        </w:rPr>
        <w:t xml:space="preserve"> </w:t>
      </w:r>
      <w:r w:rsidR="0011344A" w:rsidRPr="00437B6E">
        <w:rPr>
          <w:rFonts w:ascii="Encode Sans" w:hAnsi="Encode Sans"/>
          <w:color w:val="000000"/>
        </w:rPr>
        <w:t xml:space="preserve">et </w:t>
      </w:r>
      <w:hyperlink r:id="rId12" w:history="1">
        <w:r w:rsidR="0011344A" w:rsidRPr="00B74F29">
          <w:rPr>
            <w:rStyle w:val="Hyperlink"/>
            <w:rFonts w:ascii="Encode Sans" w:hAnsi="Encode Sans"/>
            <w:u w:val="single"/>
          </w:rPr>
          <w:t xml:space="preserve">GME </w:t>
        </w:r>
        <w:proofErr w:type="spellStart"/>
        <w:r w:rsidR="0011344A" w:rsidRPr="00B74F29">
          <w:rPr>
            <w:rStyle w:val="Hyperlink"/>
            <w:rFonts w:ascii="Encode Sans" w:hAnsi="Encode Sans"/>
            <w:u w:val="single"/>
          </w:rPr>
          <w:t>Resources</w:t>
        </w:r>
        <w:proofErr w:type="spellEnd"/>
        <w:r w:rsidR="0011344A" w:rsidRPr="00B74F29">
          <w:rPr>
            <w:rStyle w:val="Hyperlink"/>
            <w:rFonts w:ascii="Encode Sans" w:hAnsi="Encode Sans"/>
            <w:u w:val="single"/>
          </w:rPr>
          <w:t xml:space="preserve"> Limited</w:t>
        </w:r>
      </w:hyperlink>
      <w:r w:rsidR="0011344A" w:rsidRPr="00437B6E">
        <w:rPr>
          <w:rFonts w:ascii="Encode Sans" w:hAnsi="Encode Sans"/>
          <w:color w:val="000000"/>
        </w:rPr>
        <w:t xml:space="preserve"> </w:t>
      </w:r>
      <w:r w:rsidR="0011344A" w:rsidRPr="00437B6E">
        <w:rPr>
          <w:rFonts w:ascii="Encode Sans" w:hAnsi="Encode Sans"/>
        </w:rPr>
        <w:t xml:space="preserve">(« GME » ou « la Société ») (ASX : GME) ont </w:t>
      </w:r>
      <w:r w:rsidRPr="00437B6E">
        <w:rPr>
          <w:rFonts w:ascii="Encode Sans" w:hAnsi="Encode Sans"/>
        </w:rPr>
        <w:t>annoncé la</w:t>
      </w:r>
      <w:r w:rsidR="0011344A" w:rsidRPr="00437B6E">
        <w:rPr>
          <w:rFonts w:ascii="Encode Sans" w:hAnsi="Encode Sans"/>
        </w:rPr>
        <w:t xml:space="preserve"> signature d</w:t>
      </w:r>
      <w:r w:rsidR="00706414">
        <w:rPr>
          <w:rFonts w:ascii="Encode Sans" w:hAnsi="Encode Sans"/>
        </w:rPr>
        <w:t>’</w:t>
      </w:r>
      <w:r w:rsidR="0011344A" w:rsidRPr="00437B6E">
        <w:rPr>
          <w:rFonts w:ascii="Encode Sans" w:hAnsi="Encode Sans"/>
        </w:rPr>
        <w:t>un protocole d</w:t>
      </w:r>
      <w:r w:rsidR="00706414">
        <w:rPr>
          <w:rFonts w:ascii="Encode Sans" w:hAnsi="Encode Sans"/>
        </w:rPr>
        <w:t>’</w:t>
      </w:r>
      <w:r w:rsidR="0011344A" w:rsidRPr="00437B6E">
        <w:rPr>
          <w:rFonts w:ascii="Encode Sans" w:hAnsi="Encode Sans"/>
        </w:rPr>
        <w:t>accord non contraignant</w:t>
      </w:r>
      <w:r w:rsidR="001B647A">
        <w:rPr>
          <w:rFonts w:ascii="Encode Sans" w:hAnsi="Encode Sans"/>
        </w:rPr>
        <w:t xml:space="preserve"> </w:t>
      </w:r>
      <w:r w:rsidR="001B647A" w:rsidRPr="008E3129">
        <w:rPr>
          <w:rFonts w:ascii="Encode Sans" w:hAnsi="Encode Sans"/>
        </w:rPr>
        <w:t xml:space="preserve">(« MOU ») </w:t>
      </w:r>
      <w:r w:rsidR="0011344A" w:rsidRPr="00437B6E">
        <w:rPr>
          <w:rFonts w:ascii="Encode Sans" w:hAnsi="Encode Sans"/>
        </w:rPr>
        <w:t xml:space="preserve">pour </w:t>
      </w:r>
      <w:r w:rsidR="001B647A">
        <w:rPr>
          <w:rFonts w:ascii="Encode Sans" w:hAnsi="Encode Sans"/>
        </w:rPr>
        <w:t>l’approvisionnement futur en</w:t>
      </w:r>
      <w:r w:rsidR="0011344A" w:rsidRPr="00437B6E">
        <w:rPr>
          <w:rFonts w:ascii="Encode Sans" w:hAnsi="Encode Sans"/>
        </w:rPr>
        <w:t xml:space="preserve"> sulfate de nickel et cobalt de qualité batterie provenant du projet </w:t>
      </w:r>
      <w:proofErr w:type="spellStart"/>
      <w:r w:rsidR="0011344A" w:rsidRPr="00437B6E">
        <w:rPr>
          <w:rFonts w:ascii="Encode Sans" w:hAnsi="Encode Sans"/>
        </w:rPr>
        <w:t>NiWest</w:t>
      </w:r>
      <w:proofErr w:type="spellEnd"/>
      <w:r w:rsidR="0011344A" w:rsidRPr="00437B6E">
        <w:rPr>
          <w:rFonts w:ascii="Encode Sans" w:hAnsi="Encode Sans"/>
        </w:rPr>
        <w:t xml:space="preserve"> Nickel-Cobalt en Australie occidentale (« </w:t>
      </w:r>
      <w:proofErr w:type="spellStart"/>
      <w:r w:rsidR="0011344A" w:rsidRPr="00437B6E">
        <w:rPr>
          <w:rFonts w:ascii="Encode Sans" w:hAnsi="Encode Sans"/>
        </w:rPr>
        <w:t>NiWest</w:t>
      </w:r>
      <w:proofErr w:type="spellEnd"/>
      <w:r w:rsidR="0011344A" w:rsidRPr="00437B6E">
        <w:rPr>
          <w:rFonts w:ascii="Encode Sans" w:hAnsi="Encode Sans"/>
        </w:rPr>
        <w:t xml:space="preserve"> »). </w:t>
      </w:r>
    </w:p>
    <w:p w14:paraId="6A2B60C3" w14:textId="3D1CFC5B" w:rsidR="0011344A" w:rsidRPr="00437B6E" w:rsidRDefault="0011344A" w:rsidP="00437B6E">
      <w:pPr>
        <w:pBdr>
          <w:top w:val="nil"/>
          <w:left w:val="nil"/>
          <w:bottom w:val="nil"/>
          <w:right w:val="nil"/>
          <w:between w:val="nil"/>
        </w:pBdr>
        <w:rPr>
          <w:rFonts w:ascii="Encode Sans" w:eastAsia="Arial" w:hAnsi="Encode Sans" w:cs="Arial"/>
          <w:color w:val="000000"/>
        </w:rPr>
      </w:pPr>
      <w:proofErr w:type="spellStart"/>
      <w:r w:rsidRPr="00437B6E">
        <w:rPr>
          <w:rFonts w:ascii="Encode Sans" w:hAnsi="Encode Sans"/>
          <w:color w:val="000000"/>
        </w:rPr>
        <w:t>NiWest</w:t>
      </w:r>
      <w:proofErr w:type="spellEnd"/>
      <w:r w:rsidRPr="00437B6E">
        <w:rPr>
          <w:rFonts w:ascii="Encode Sans" w:hAnsi="Encode Sans"/>
          <w:color w:val="000000"/>
        </w:rPr>
        <w:t xml:space="preserve"> est un projet de développement avancé de nickel-cobalt et produira environ 90 000 </w:t>
      </w:r>
      <w:proofErr w:type="spellStart"/>
      <w:r w:rsidRPr="00437B6E">
        <w:rPr>
          <w:rFonts w:ascii="Encode Sans" w:hAnsi="Encode Sans"/>
          <w:color w:val="000000"/>
        </w:rPr>
        <w:t>tpa</w:t>
      </w:r>
      <w:proofErr w:type="spellEnd"/>
      <w:r w:rsidRPr="00437B6E">
        <w:rPr>
          <w:rFonts w:ascii="Encode Sans" w:hAnsi="Encode Sans"/>
          <w:color w:val="000000"/>
        </w:rPr>
        <w:t xml:space="preserve"> (tonnes par an) de sulfate de nickel et de cobalt de qualité batterie pour le marché en plein essor des véhicules électriques. À ce jour, plus de 30 millions de dollars australiens ont été investis dans le forage, les essais métallurgiques et les études de développement. Une étude de faisabilité définitive pour </w:t>
      </w:r>
      <w:proofErr w:type="spellStart"/>
      <w:r w:rsidRPr="00437B6E">
        <w:rPr>
          <w:rFonts w:ascii="Encode Sans" w:hAnsi="Encode Sans"/>
          <w:color w:val="000000"/>
        </w:rPr>
        <w:t>NiWest</w:t>
      </w:r>
      <w:proofErr w:type="spellEnd"/>
      <w:r w:rsidRPr="00437B6E">
        <w:rPr>
          <w:rFonts w:ascii="Encode Sans" w:hAnsi="Encode Sans"/>
          <w:color w:val="000000"/>
        </w:rPr>
        <w:t xml:space="preserve"> doit commencer ce mois-ci. </w:t>
      </w:r>
      <w:r w:rsidRPr="00E4756F">
        <w:rPr>
          <w:rFonts w:ascii="Encode Sans" w:hAnsi="Encode Sans"/>
        </w:rPr>
        <w:t>L</w:t>
      </w:r>
      <w:r w:rsidR="00706414">
        <w:rPr>
          <w:rFonts w:ascii="Encode Sans" w:hAnsi="Encode Sans"/>
        </w:rPr>
        <w:t>’</w:t>
      </w:r>
      <w:r w:rsidRPr="00E4756F">
        <w:rPr>
          <w:rFonts w:ascii="Encode Sans" w:hAnsi="Encode Sans"/>
        </w:rPr>
        <w:t>emplacement proposé pour l</w:t>
      </w:r>
      <w:r w:rsidR="00706414">
        <w:rPr>
          <w:rFonts w:ascii="Encode Sans" w:hAnsi="Encode Sans"/>
        </w:rPr>
        <w:t>’</w:t>
      </w:r>
      <w:r w:rsidRPr="00E4756F">
        <w:rPr>
          <w:rFonts w:ascii="Encode Sans" w:hAnsi="Encode Sans"/>
        </w:rPr>
        <w:t xml:space="preserve">usine de transformation de </w:t>
      </w:r>
      <w:proofErr w:type="spellStart"/>
      <w:r w:rsidRPr="00E4756F">
        <w:rPr>
          <w:rFonts w:ascii="Encode Sans" w:hAnsi="Encode Sans"/>
        </w:rPr>
        <w:t>NiWest</w:t>
      </w:r>
      <w:proofErr w:type="spellEnd"/>
      <w:r w:rsidRPr="00E4756F">
        <w:rPr>
          <w:rFonts w:ascii="Encode Sans" w:hAnsi="Encode Sans"/>
        </w:rPr>
        <w:t xml:space="preserve"> se trouve à environ 30 kilomètres de l</w:t>
      </w:r>
      <w:r w:rsidR="00706414">
        <w:rPr>
          <w:rFonts w:ascii="Encode Sans" w:hAnsi="Encode Sans"/>
        </w:rPr>
        <w:t>’</w:t>
      </w:r>
      <w:r w:rsidRPr="00E4756F">
        <w:rPr>
          <w:rFonts w:ascii="Encode Sans" w:hAnsi="Encode Sans"/>
        </w:rPr>
        <w:t xml:space="preserve">exploitation Murrin </w:t>
      </w:r>
      <w:proofErr w:type="spellStart"/>
      <w:r w:rsidRPr="00E4756F">
        <w:rPr>
          <w:rFonts w:ascii="Encode Sans" w:hAnsi="Encode Sans"/>
        </w:rPr>
        <w:t>Murrin</w:t>
      </w:r>
      <w:proofErr w:type="spellEnd"/>
      <w:r w:rsidRPr="00E4756F">
        <w:rPr>
          <w:rFonts w:ascii="Encode Sans" w:hAnsi="Encode Sans"/>
        </w:rPr>
        <w:t xml:space="preserve">, </w:t>
      </w:r>
      <w:r w:rsidR="007C3E83">
        <w:rPr>
          <w:rFonts w:ascii="Encode Sans" w:hAnsi="Encode Sans"/>
        </w:rPr>
        <w:t xml:space="preserve">propriété de </w:t>
      </w:r>
      <w:proofErr w:type="spellStart"/>
      <w:r w:rsidR="007C3E83">
        <w:rPr>
          <w:rFonts w:ascii="Encode Sans" w:hAnsi="Encode Sans"/>
        </w:rPr>
        <w:t>Glencore</w:t>
      </w:r>
      <w:proofErr w:type="spellEnd"/>
      <w:r w:rsidR="007C3E83">
        <w:rPr>
          <w:rFonts w:ascii="Encode Sans" w:hAnsi="Encode Sans"/>
        </w:rPr>
        <w:t xml:space="preserve"> </w:t>
      </w:r>
      <w:r w:rsidRPr="00E4756F">
        <w:rPr>
          <w:rFonts w:ascii="Encode Sans" w:hAnsi="Encode Sans"/>
        </w:rPr>
        <w:t>la plus grande exploitation de nickel-cobalt d</w:t>
      </w:r>
      <w:r w:rsidR="00706414">
        <w:rPr>
          <w:rFonts w:ascii="Encode Sans" w:hAnsi="Encode Sans"/>
        </w:rPr>
        <w:t>’</w:t>
      </w:r>
      <w:r w:rsidRPr="00E4756F">
        <w:rPr>
          <w:rFonts w:ascii="Encode Sans" w:hAnsi="Encode Sans"/>
        </w:rPr>
        <w:t>Australie.</w:t>
      </w:r>
    </w:p>
    <w:p w14:paraId="23F6F27A" w14:textId="3B14FDD4" w:rsidR="00E4756F" w:rsidRDefault="00DB7F49" w:rsidP="00437B6E">
      <w:pPr>
        <w:pBdr>
          <w:top w:val="nil"/>
          <w:left w:val="nil"/>
          <w:bottom w:val="nil"/>
          <w:right w:val="nil"/>
          <w:between w:val="nil"/>
        </w:pBdr>
        <w:rPr>
          <w:rFonts w:ascii="Encode Sans" w:hAnsi="Encode Sans"/>
        </w:rPr>
      </w:pPr>
      <w:r w:rsidRPr="00437B6E">
        <w:rPr>
          <w:rFonts w:ascii="Encode Sans" w:hAnsi="Encode Sans"/>
        </w:rPr>
        <w:t xml:space="preserve">« Chaque jour, </w:t>
      </w:r>
      <w:proofErr w:type="spellStart"/>
      <w:r w:rsidRPr="00437B6E">
        <w:rPr>
          <w:rFonts w:ascii="Encode Sans" w:hAnsi="Encode Sans"/>
        </w:rPr>
        <w:t>Stellantis</w:t>
      </w:r>
      <w:proofErr w:type="spellEnd"/>
      <w:r w:rsidRPr="00437B6E">
        <w:rPr>
          <w:rFonts w:ascii="Encode Sans" w:hAnsi="Encode Sans"/>
        </w:rPr>
        <w:t xml:space="preserve"> s</w:t>
      </w:r>
      <w:r w:rsidR="00706414">
        <w:rPr>
          <w:rFonts w:ascii="Encode Sans" w:hAnsi="Encode Sans"/>
        </w:rPr>
        <w:t>’</w:t>
      </w:r>
      <w:r w:rsidRPr="00437B6E">
        <w:rPr>
          <w:rFonts w:ascii="Encode Sans" w:hAnsi="Encode Sans"/>
        </w:rPr>
        <w:t>efforce d</w:t>
      </w:r>
      <w:r w:rsidR="00706414">
        <w:rPr>
          <w:rFonts w:ascii="Encode Sans" w:hAnsi="Encode Sans"/>
        </w:rPr>
        <w:t>’</w:t>
      </w:r>
      <w:r w:rsidRPr="00437B6E">
        <w:rPr>
          <w:rFonts w:ascii="Encode Sans" w:hAnsi="Encode Sans"/>
        </w:rPr>
        <w:t xml:space="preserve">offrir à </w:t>
      </w:r>
      <w:r w:rsidR="00316B35">
        <w:rPr>
          <w:rFonts w:ascii="Encode Sans" w:hAnsi="Encode Sans"/>
        </w:rPr>
        <w:t xml:space="preserve">nos </w:t>
      </w:r>
      <w:r w:rsidRPr="00437B6E">
        <w:rPr>
          <w:rFonts w:ascii="Encode Sans" w:hAnsi="Encode Sans"/>
        </w:rPr>
        <w:t xml:space="preserve">clients une liberté de mouvement propre, sûre, abordable et à la pointe de la technologie », a déclaré Maxime Picat, </w:t>
      </w:r>
      <w:r w:rsidR="00E4756F" w:rsidRPr="00E4756F">
        <w:rPr>
          <w:rFonts w:ascii="Encode Sans" w:hAnsi="Encode Sans"/>
        </w:rPr>
        <w:t xml:space="preserve">Chief </w:t>
      </w:r>
      <w:proofErr w:type="spellStart"/>
      <w:r w:rsidR="00E4756F" w:rsidRPr="00E4756F">
        <w:rPr>
          <w:rFonts w:ascii="Encode Sans" w:hAnsi="Encode Sans"/>
        </w:rPr>
        <w:t>Purchasing</w:t>
      </w:r>
      <w:proofErr w:type="spellEnd"/>
      <w:r w:rsidR="00E4756F" w:rsidRPr="00E4756F">
        <w:rPr>
          <w:rFonts w:ascii="Encode Sans" w:hAnsi="Encode Sans"/>
        </w:rPr>
        <w:t xml:space="preserve"> and </w:t>
      </w:r>
      <w:proofErr w:type="spellStart"/>
      <w:r w:rsidR="00E4756F" w:rsidRPr="00E4756F">
        <w:rPr>
          <w:rFonts w:ascii="Encode Sans" w:hAnsi="Encode Sans"/>
        </w:rPr>
        <w:t>Supply</w:t>
      </w:r>
      <w:proofErr w:type="spellEnd"/>
      <w:r w:rsidR="00E4756F" w:rsidRPr="00E4756F">
        <w:rPr>
          <w:rFonts w:ascii="Encode Sans" w:hAnsi="Encode Sans"/>
        </w:rPr>
        <w:t xml:space="preserve"> Chain </w:t>
      </w:r>
      <w:proofErr w:type="spellStart"/>
      <w:r w:rsidR="00E4756F" w:rsidRPr="00E4756F">
        <w:rPr>
          <w:rFonts w:ascii="Encode Sans" w:hAnsi="Encode Sans"/>
        </w:rPr>
        <w:t>Office</w:t>
      </w:r>
      <w:r w:rsidR="005B099B">
        <w:rPr>
          <w:rFonts w:ascii="Encode Sans" w:hAnsi="Encode Sans"/>
        </w:rPr>
        <w:t>r</w:t>
      </w:r>
      <w:proofErr w:type="spellEnd"/>
      <w:r w:rsidR="00E4756F">
        <w:rPr>
          <w:rFonts w:ascii="Encode Sans" w:hAnsi="Encode Sans"/>
        </w:rPr>
        <w:t xml:space="preserve"> </w:t>
      </w:r>
      <w:r w:rsidRPr="00437B6E">
        <w:rPr>
          <w:rFonts w:ascii="Encode Sans" w:hAnsi="Encode Sans"/>
        </w:rPr>
        <w:t xml:space="preserve">de </w:t>
      </w:r>
      <w:proofErr w:type="spellStart"/>
      <w:r w:rsidRPr="00437B6E">
        <w:rPr>
          <w:rFonts w:ascii="Encode Sans" w:hAnsi="Encode Sans"/>
        </w:rPr>
        <w:t>Stellantis</w:t>
      </w:r>
      <w:proofErr w:type="spellEnd"/>
      <w:r w:rsidRPr="00437B6E">
        <w:rPr>
          <w:rFonts w:ascii="Encode Sans" w:hAnsi="Encode Sans"/>
        </w:rPr>
        <w:t>. « </w:t>
      </w:r>
      <w:r w:rsidR="00F76566">
        <w:rPr>
          <w:rFonts w:ascii="Encode Sans" w:hAnsi="Encode Sans"/>
        </w:rPr>
        <w:t>Sécuriser l</w:t>
      </w:r>
      <w:r w:rsidRPr="00437B6E">
        <w:rPr>
          <w:rFonts w:ascii="Encode Sans" w:hAnsi="Encode Sans"/>
        </w:rPr>
        <w:t xml:space="preserve">es sources de matières premières et </w:t>
      </w:r>
      <w:r w:rsidR="00A86899">
        <w:rPr>
          <w:rFonts w:ascii="Encode Sans" w:hAnsi="Encode Sans"/>
        </w:rPr>
        <w:t>d</w:t>
      </w:r>
      <w:r w:rsidR="00706414">
        <w:rPr>
          <w:rFonts w:ascii="Encode Sans" w:hAnsi="Encode Sans"/>
        </w:rPr>
        <w:t>’</w:t>
      </w:r>
      <w:r w:rsidR="00A86899">
        <w:rPr>
          <w:rFonts w:ascii="Encode Sans" w:hAnsi="Encode Sans"/>
        </w:rPr>
        <w:t>alimentation</w:t>
      </w:r>
      <w:r w:rsidR="00A86899" w:rsidRPr="00437B6E">
        <w:rPr>
          <w:rFonts w:ascii="Encode Sans" w:hAnsi="Encode Sans"/>
        </w:rPr>
        <w:t xml:space="preserve"> </w:t>
      </w:r>
      <w:r w:rsidR="00A86899">
        <w:rPr>
          <w:rFonts w:ascii="Encode Sans" w:hAnsi="Encode Sans"/>
        </w:rPr>
        <w:t>pour les</w:t>
      </w:r>
      <w:r w:rsidRPr="00437B6E">
        <w:rPr>
          <w:rFonts w:ascii="Encode Sans" w:hAnsi="Encode Sans"/>
        </w:rPr>
        <w:t xml:space="preserve"> batteries renforcera la chaîne de valeur de </w:t>
      </w:r>
      <w:proofErr w:type="spellStart"/>
      <w:r w:rsidRPr="00437B6E">
        <w:rPr>
          <w:rFonts w:ascii="Encode Sans" w:hAnsi="Encode Sans"/>
        </w:rPr>
        <w:t>Stellantis</w:t>
      </w:r>
      <w:proofErr w:type="spellEnd"/>
      <w:r w:rsidRPr="00437B6E">
        <w:rPr>
          <w:rFonts w:ascii="Encode Sans" w:hAnsi="Encode Sans"/>
        </w:rPr>
        <w:t xml:space="preserve"> pour la production de batteries de véhicules électriques et aidera </w:t>
      </w:r>
      <w:r w:rsidR="00A86899">
        <w:rPr>
          <w:rFonts w:ascii="Encode Sans" w:hAnsi="Encode Sans"/>
        </w:rPr>
        <w:t xml:space="preserve">également </w:t>
      </w:r>
      <w:r w:rsidR="00E4756F">
        <w:rPr>
          <w:rFonts w:ascii="Encode Sans" w:hAnsi="Encode Sans"/>
        </w:rPr>
        <w:t>l’entreprise</w:t>
      </w:r>
      <w:r w:rsidRPr="00437B6E">
        <w:rPr>
          <w:rFonts w:ascii="Encode Sans" w:hAnsi="Encode Sans"/>
        </w:rPr>
        <w:t xml:space="preserve"> à atteindre son objectif</w:t>
      </w:r>
      <w:r w:rsidR="001B647A">
        <w:rPr>
          <w:rFonts w:ascii="Encode Sans" w:hAnsi="Encode Sans"/>
        </w:rPr>
        <w:t xml:space="preserve"> audacieux</w:t>
      </w:r>
      <w:r w:rsidRPr="00437B6E">
        <w:rPr>
          <w:rFonts w:ascii="Encode Sans" w:hAnsi="Encode Sans"/>
        </w:rPr>
        <w:t xml:space="preserve"> de décarbon</w:t>
      </w:r>
      <w:r w:rsidR="00A86899">
        <w:rPr>
          <w:rFonts w:ascii="Encode Sans" w:hAnsi="Encode Sans"/>
        </w:rPr>
        <w:t>a</w:t>
      </w:r>
      <w:r w:rsidRPr="00437B6E">
        <w:rPr>
          <w:rFonts w:ascii="Encode Sans" w:hAnsi="Encode Sans"/>
        </w:rPr>
        <w:t>tion</w:t>
      </w:r>
      <w:r w:rsidR="00247449">
        <w:rPr>
          <w:rFonts w:ascii="Encode Sans" w:hAnsi="Encode Sans"/>
        </w:rPr>
        <w:t>.</w:t>
      </w:r>
      <w:r w:rsidRPr="00437B6E">
        <w:rPr>
          <w:rFonts w:ascii="Encode Sans" w:hAnsi="Encode Sans"/>
        </w:rPr>
        <w:t xml:space="preserve"> »</w:t>
      </w:r>
    </w:p>
    <w:p w14:paraId="062597E8" w14:textId="42D2812F" w:rsidR="00044E26" w:rsidRPr="00437B6E" w:rsidRDefault="00044E26" w:rsidP="00437B6E">
      <w:pPr>
        <w:pBdr>
          <w:top w:val="nil"/>
          <w:left w:val="nil"/>
          <w:bottom w:val="nil"/>
          <w:right w:val="nil"/>
          <w:between w:val="nil"/>
        </w:pBdr>
        <w:rPr>
          <w:rFonts w:ascii="Encode Sans" w:hAnsi="Encode Sans"/>
        </w:rPr>
      </w:pPr>
      <w:r w:rsidRPr="00437B6E">
        <w:rPr>
          <w:rFonts w:ascii="Encode Sans" w:hAnsi="Encode Sans"/>
        </w:rPr>
        <w:t xml:space="preserve">Dans le cadre du </w:t>
      </w:r>
      <w:r w:rsidR="00E4756F">
        <w:rPr>
          <w:rFonts w:ascii="Encode Sans" w:hAnsi="Encode Sans"/>
        </w:rPr>
        <w:t>P</w:t>
      </w:r>
      <w:r w:rsidRPr="00437B6E">
        <w:rPr>
          <w:rFonts w:ascii="Encode Sans" w:hAnsi="Encode Sans"/>
        </w:rPr>
        <w:t xml:space="preserve">lan </w:t>
      </w:r>
      <w:r w:rsidR="00E4756F">
        <w:rPr>
          <w:rFonts w:ascii="Encode Sans" w:hAnsi="Encode Sans"/>
        </w:rPr>
        <w:t>S</w:t>
      </w:r>
      <w:r w:rsidRPr="00437B6E">
        <w:rPr>
          <w:rFonts w:ascii="Encode Sans" w:hAnsi="Encode Sans"/>
        </w:rPr>
        <w:t xml:space="preserve">tratégique </w:t>
      </w:r>
      <w:hyperlink r:id="rId13" w:history="1">
        <w:r w:rsidR="00E4756F">
          <w:rPr>
            <w:rStyle w:val="Hyperlink"/>
            <w:rFonts w:ascii="Encode Sans" w:hAnsi="Encode Sans"/>
          </w:rPr>
          <w:t xml:space="preserve">Dare </w:t>
        </w:r>
        <w:proofErr w:type="spellStart"/>
        <w:r w:rsidR="00E4756F">
          <w:rPr>
            <w:rStyle w:val="Hyperlink"/>
            <w:rFonts w:ascii="Encode Sans" w:hAnsi="Encode Sans"/>
          </w:rPr>
          <w:t>Forward</w:t>
        </w:r>
        <w:proofErr w:type="spellEnd"/>
        <w:r w:rsidR="00E4756F">
          <w:rPr>
            <w:rStyle w:val="Hyperlink"/>
            <w:rFonts w:ascii="Encode Sans" w:hAnsi="Encode Sans"/>
          </w:rPr>
          <w:t xml:space="preserve"> 2030</w:t>
        </w:r>
      </w:hyperlink>
      <w:r w:rsidRPr="00437B6E">
        <w:rPr>
          <w:rFonts w:ascii="Encode Sans" w:hAnsi="Encode Sans"/>
        </w:rPr>
        <w:t xml:space="preserve">, </w:t>
      </w:r>
      <w:proofErr w:type="spellStart"/>
      <w:r w:rsidRPr="00437B6E">
        <w:rPr>
          <w:rFonts w:ascii="Encode Sans" w:hAnsi="Encode Sans"/>
        </w:rPr>
        <w:t>Stellantis</w:t>
      </w:r>
      <w:proofErr w:type="spellEnd"/>
      <w:r w:rsidRPr="00437B6E">
        <w:rPr>
          <w:rFonts w:ascii="Encode Sans" w:hAnsi="Encode Sans"/>
        </w:rPr>
        <w:t xml:space="preserve"> a annoncé son intention d</w:t>
      </w:r>
      <w:r w:rsidR="00706414">
        <w:rPr>
          <w:rFonts w:ascii="Encode Sans" w:hAnsi="Encode Sans"/>
        </w:rPr>
        <w:t>’</w:t>
      </w:r>
      <w:r w:rsidRPr="00437B6E">
        <w:rPr>
          <w:rFonts w:ascii="Encode Sans" w:hAnsi="Encode Sans"/>
        </w:rPr>
        <w:t xml:space="preserve">atteindre 100 % des ventes de véhicules électriques à batterie (BEV) pour les voitures </w:t>
      </w:r>
      <w:r w:rsidR="00363B8C">
        <w:rPr>
          <w:rFonts w:ascii="Encode Sans" w:hAnsi="Encode Sans"/>
        </w:rPr>
        <w:t xml:space="preserve">particulières </w:t>
      </w:r>
      <w:r w:rsidRPr="00437B6E">
        <w:rPr>
          <w:rFonts w:ascii="Encode Sans" w:hAnsi="Encode Sans"/>
        </w:rPr>
        <w:t xml:space="preserve">en Europe et 50 % des ventes de BEV pour les voitures </w:t>
      </w:r>
      <w:r w:rsidR="00363B8C">
        <w:rPr>
          <w:rFonts w:ascii="Encode Sans" w:hAnsi="Encode Sans"/>
        </w:rPr>
        <w:t xml:space="preserve">particulières </w:t>
      </w:r>
      <w:r w:rsidRPr="00437B6E">
        <w:rPr>
          <w:rFonts w:ascii="Encode Sans" w:hAnsi="Encode Sans"/>
        </w:rPr>
        <w:t xml:space="preserve">et les </w:t>
      </w:r>
      <w:proofErr w:type="spellStart"/>
      <w:r w:rsidR="00363B8C">
        <w:rPr>
          <w:rFonts w:ascii="Encode Sans" w:hAnsi="Encode Sans"/>
        </w:rPr>
        <w:t>pick</w:t>
      </w:r>
      <w:proofErr w:type="spellEnd"/>
      <w:r w:rsidR="00363B8C">
        <w:rPr>
          <w:rFonts w:ascii="Encode Sans" w:hAnsi="Encode Sans"/>
        </w:rPr>
        <w:t xml:space="preserve"> </w:t>
      </w:r>
      <w:proofErr w:type="spellStart"/>
      <w:r w:rsidR="00363B8C">
        <w:rPr>
          <w:rFonts w:ascii="Encode Sans" w:hAnsi="Encode Sans"/>
        </w:rPr>
        <w:t>ups</w:t>
      </w:r>
      <w:proofErr w:type="spellEnd"/>
      <w:r w:rsidR="00363B8C">
        <w:rPr>
          <w:rFonts w:ascii="Encode Sans" w:hAnsi="Encode Sans"/>
        </w:rPr>
        <w:t xml:space="preserve"> </w:t>
      </w:r>
      <w:r w:rsidRPr="00437B6E">
        <w:rPr>
          <w:rFonts w:ascii="Encode Sans" w:hAnsi="Encode Sans"/>
        </w:rPr>
        <w:t>aux États-Unis d</w:t>
      </w:r>
      <w:r w:rsidR="00706414">
        <w:rPr>
          <w:rFonts w:ascii="Encode Sans" w:hAnsi="Encode Sans"/>
        </w:rPr>
        <w:t>’</w:t>
      </w:r>
      <w:r w:rsidRPr="00437B6E">
        <w:rPr>
          <w:rFonts w:ascii="Encode Sans" w:hAnsi="Encode Sans"/>
        </w:rPr>
        <w:t xml:space="preserve">ici 2030. </w:t>
      </w:r>
      <w:proofErr w:type="spellStart"/>
      <w:r w:rsidRPr="00437B6E">
        <w:rPr>
          <w:rFonts w:ascii="Encode Sans" w:hAnsi="Encode Sans"/>
        </w:rPr>
        <w:t>Stellantis</w:t>
      </w:r>
      <w:proofErr w:type="spellEnd"/>
      <w:r w:rsidRPr="00437B6E">
        <w:rPr>
          <w:rFonts w:ascii="Encode Sans" w:hAnsi="Encode Sans"/>
        </w:rPr>
        <w:t xml:space="preserve"> sera le champion du secteur en matière d</w:t>
      </w:r>
      <w:r w:rsidR="00706414">
        <w:rPr>
          <w:rFonts w:ascii="Encode Sans" w:hAnsi="Encode Sans"/>
        </w:rPr>
        <w:t>’</w:t>
      </w:r>
      <w:r w:rsidRPr="00437B6E">
        <w:rPr>
          <w:rFonts w:ascii="Encode Sans" w:hAnsi="Encode Sans"/>
        </w:rPr>
        <w:t xml:space="preserve">atténuation des changements climatiques, en </w:t>
      </w:r>
      <w:r w:rsidRPr="00437B6E">
        <w:rPr>
          <w:rFonts w:ascii="Encode Sans" w:hAnsi="Encode Sans"/>
        </w:rPr>
        <w:lastRenderedPageBreak/>
        <w:t xml:space="preserve">atteignant un bilan carbone net </w:t>
      </w:r>
      <w:r w:rsidR="00E4756F">
        <w:rPr>
          <w:rFonts w:ascii="Encode Sans" w:hAnsi="Encode Sans"/>
        </w:rPr>
        <w:t>zéro</w:t>
      </w:r>
      <w:r w:rsidR="00E4756F" w:rsidRPr="00437B6E">
        <w:rPr>
          <w:rFonts w:ascii="Encode Sans" w:hAnsi="Encode Sans"/>
        </w:rPr>
        <w:t xml:space="preserve"> </w:t>
      </w:r>
      <w:r w:rsidRPr="00437B6E">
        <w:rPr>
          <w:rFonts w:ascii="Encode Sans" w:hAnsi="Encode Sans"/>
        </w:rPr>
        <w:t>d</w:t>
      </w:r>
      <w:r w:rsidR="00706414">
        <w:rPr>
          <w:rFonts w:ascii="Encode Sans" w:hAnsi="Encode Sans"/>
        </w:rPr>
        <w:t>’</w:t>
      </w:r>
      <w:r w:rsidRPr="00437B6E">
        <w:rPr>
          <w:rFonts w:ascii="Encode Sans" w:hAnsi="Encode Sans"/>
        </w:rPr>
        <w:t>ici 2038, avec une réduction de 50 % d</w:t>
      </w:r>
      <w:r w:rsidR="00706414">
        <w:rPr>
          <w:rFonts w:ascii="Encode Sans" w:hAnsi="Encode Sans"/>
        </w:rPr>
        <w:t>’</w:t>
      </w:r>
      <w:r w:rsidRPr="00437B6E">
        <w:rPr>
          <w:rFonts w:ascii="Encode Sans" w:hAnsi="Encode Sans"/>
        </w:rPr>
        <w:t xml:space="preserve">ici 2030. </w:t>
      </w:r>
    </w:p>
    <w:p w14:paraId="601CE645" w14:textId="3EA1F3AA" w:rsidR="00E877EC" w:rsidRPr="00437B6E" w:rsidRDefault="00E877EC" w:rsidP="00E51B39">
      <w:pPr>
        <w:spacing w:after="0"/>
        <w:rPr>
          <w:rFonts w:ascii="Encode Sans" w:hAnsi="Encode Sans"/>
        </w:rPr>
      </w:pPr>
      <w:r w:rsidRPr="00437B6E">
        <w:rPr>
          <w:rFonts w:ascii="Encode Sans" w:hAnsi="Encode Sans"/>
        </w:rPr>
        <w:t>« </w:t>
      </w:r>
      <w:proofErr w:type="spellStart"/>
      <w:r w:rsidRPr="00437B6E">
        <w:rPr>
          <w:rFonts w:ascii="Encode Sans" w:hAnsi="Encode Sans"/>
        </w:rPr>
        <w:t>Stellantis</w:t>
      </w:r>
      <w:proofErr w:type="spellEnd"/>
      <w:r w:rsidRPr="00437B6E">
        <w:rPr>
          <w:rFonts w:ascii="Encode Sans" w:hAnsi="Encode Sans"/>
        </w:rPr>
        <w:t xml:space="preserve"> est un partenaire de </w:t>
      </w:r>
      <w:r w:rsidR="001B647A">
        <w:rPr>
          <w:rFonts w:ascii="Encode Sans" w:hAnsi="Encode Sans"/>
        </w:rPr>
        <w:t>premier plan</w:t>
      </w:r>
      <w:r w:rsidRPr="00437B6E">
        <w:rPr>
          <w:rFonts w:ascii="Encode Sans" w:hAnsi="Encode Sans"/>
        </w:rPr>
        <w:t xml:space="preserve"> et GME est ravi d</w:t>
      </w:r>
      <w:r w:rsidR="00706414">
        <w:rPr>
          <w:rFonts w:ascii="Encode Sans" w:hAnsi="Encode Sans"/>
        </w:rPr>
        <w:t>’</w:t>
      </w:r>
      <w:r w:rsidRPr="00437B6E">
        <w:rPr>
          <w:rFonts w:ascii="Encode Sans" w:hAnsi="Encode Sans"/>
        </w:rPr>
        <w:t>avoir signé ce protocole d</w:t>
      </w:r>
      <w:r w:rsidR="00706414">
        <w:rPr>
          <w:rFonts w:ascii="Encode Sans" w:hAnsi="Encode Sans"/>
        </w:rPr>
        <w:t>’</w:t>
      </w:r>
      <w:r w:rsidRPr="00437B6E">
        <w:rPr>
          <w:rFonts w:ascii="Encode Sans" w:hAnsi="Encode Sans"/>
        </w:rPr>
        <w:t>accord qui, nous l</w:t>
      </w:r>
      <w:r w:rsidR="00706414">
        <w:rPr>
          <w:rFonts w:ascii="Encode Sans" w:hAnsi="Encode Sans"/>
        </w:rPr>
        <w:t>’</w:t>
      </w:r>
      <w:r w:rsidRPr="00437B6E">
        <w:rPr>
          <w:rFonts w:ascii="Encode Sans" w:hAnsi="Encode Sans"/>
        </w:rPr>
        <w:t>espérons, est la première étape d</w:t>
      </w:r>
      <w:r w:rsidR="00706414">
        <w:rPr>
          <w:rFonts w:ascii="Encode Sans" w:hAnsi="Encode Sans"/>
        </w:rPr>
        <w:t>’</w:t>
      </w:r>
      <w:r w:rsidRPr="00437B6E">
        <w:rPr>
          <w:rFonts w:ascii="Encode Sans" w:hAnsi="Encode Sans"/>
        </w:rPr>
        <w:t xml:space="preserve">un partenariat à long terme », a déclaré Paul </w:t>
      </w:r>
      <w:proofErr w:type="spellStart"/>
      <w:r w:rsidRPr="00437B6E">
        <w:rPr>
          <w:rFonts w:ascii="Encode Sans" w:hAnsi="Encode Sans"/>
        </w:rPr>
        <w:t>Kopejtka</w:t>
      </w:r>
      <w:proofErr w:type="spellEnd"/>
      <w:r w:rsidRPr="00437B6E">
        <w:rPr>
          <w:rFonts w:ascii="Encode Sans" w:hAnsi="Encode Sans"/>
        </w:rPr>
        <w:t xml:space="preserve">, </w:t>
      </w:r>
      <w:proofErr w:type="spellStart"/>
      <w:r w:rsidR="001B647A" w:rsidRPr="00437B6E">
        <w:rPr>
          <w:rFonts w:ascii="Encode Sans" w:hAnsi="Encode Sans"/>
        </w:rPr>
        <w:t>Managing</w:t>
      </w:r>
      <w:proofErr w:type="spellEnd"/>
      <w:r w:rsidR="001B647A" w:rsidRPr="00437B6E">
        <w:rPr>
          <w:rFonts w:ascii="Encode Sans" w:hAnsi="Encode Sans"/>
        </w:rPr>
        <w:t xml:space="preserve"> </w:t>
      </w:r>
      <w:proofErr w:type="spellStart"/>
      <w:r w:rsidR="001B647A" w:rsidRPr="00437B6E">
        <w:rPr>
          <w:rFonts w:ascii="Encode Sans" w:hAnsi="Encode Sans"/>
        </w:rPr>
        <w:t>Director</w:t>
      </w:r>
      <w:proofErr w:type="spellEnd"/>
      <w:r w:rsidR="001B647A" w:rsidRPr="001B647A" w:rsidDel="00E4756F">
        <w:rPr>
          <w:rFonts w:ascii="Encode Sans" w:hAnsi="Encode Sans"/>
        </w:rPr>
        <w:t xml:space="preserve"> </w:t>
      </w:r>
      <w:r w:rsidRPr="00437B6E">
        <w:rPr>
          <w:rFonts w:ascii="Encode Sans" w:hAnsi="Encode Sans"/>
        </w:rPr>
        <w:t>de GME. « Nous sommes très satisfaits de la façon dont nos discussions ont progressé et nous sommes maintenant impatients de poursuivre des négociations plus détaillées parallèlement au lancement de l</w:t>
      </w:r>
      <w:r w:rsidR="00706414">
        <w:rPr>
          <w:rFonts w:ascii="Encode Sans" w:hAnsi="Encode Sans"/>
        </w:rPr>
        <w:t>’</w:t>
      </w:r>
      <w:r w:rsidRPr="00437B6E">
        <w:rPr>
          <w:rFonts w:ascii="Encode Sans" w:hAnsi="Encode Sans"/>
        </w:rPr>
        <w:t xml:space="preserve">étude de faisabilité définitive pour le projet </w:t>
      </w:r>
      <w:proofErr w:type="spellStart"/>
      <w:r w:rsidRPr="00437B6E">
        <w:rPr>
          <w:rFonts w:ascii="Encode Sans" w:hAnsi="Encode Sans"/>
        </w:rPr>
        <w:t>NiWest</w:t>
      </w:r>
      <w:proofErr w:type="spellEnd"/>
      <w:r w:rsidRPr="00437B6E">
        <w:rPr>
          <w:rFonts w:ascii="Encode Sans" w:hAnsi="Encode Sans"/>
        </w:rPr>
        <w:t xml:space="preserve"> Nickel-Cobalt. La conclusion d</w:t>
      </w:r>
      <w:r w:rsidR="00706414">
        <w:rPr>
          <w:rFonts w:ascii="Encode Sans" w:hAnsi="Encode Sans"/>
        </w:rPr>
        <w:t>’</w:t>
      </w:r>
      <w:r w:rsidRPr="00437B6E">
        <w:rPr>
          <w:rFonts w:ascii="Encode Sans" w:hAnsi="Encode Sans"/>
        </w:rPr>
        <w:t xml:space="preserve">un accord définitif avec </w:t>
      </w:r>
      <w:proofErr w:type="spellStart"/>
      <w:r w:rsidRPr="00437B6E">
        <w:rPr>
          <w:rFonts w:ascii="Encode Sans" w:hAnsi="Encode Sans"/>
        </w:rPr>
        <w:t>Stellantis</w:t>
      </w:r>
      <w:proofErr w:type="spellEnd"/>
      <w:r w:rsidRPr="00437B6E">
        <w:rPr>
          <w:rFonts w:ascii="Encode Sans" w:hAnsi="Encode Sans"/>
        </w:rPr>
        <w:t xml:space="preserve"> serait une étape essentielle pour pouvoir faire progresser le projet </w:t>
      </w:r>
      <w:proofErr w:type="spellStart"/>
      <w:r w:rsidRPr="00437B6E">
        <w:rPr>
          <w:rFonts w:ascii="Encode Sans" w:hAnsi="Encode Sans"/>
        </w:rPr>
        <w:t>NiWest</w:t>
      </w:r>
      <w:proofErr w:type="spellEnd"/>
      <w:r w:rsidRPr="00437B6E">
        <w:rPr>
          <w:rFonts w:ascii="Encode Sans" w:hAnsi="Encode Sans"/>
        </w:rPr>
        <w:t xml:space="preserve"> jusqu</w:t>
      </w:r>
      <w:r w:rsidR="00706414">
        <w:rPr>
          <w:rFonts w:ascii="Encode Sans" w:hAnsi="Encode Sans"/>
        </w:rPr>
        <w:t>’</w:t>
      </w:r>
      <w:r w:rsidRPr="00437B6E">
        <w:rPr>
          <w:rFonts w:ascii="Encode Sans" w:hAnsi="Encode Sans"/>
        </w:rPr>
        <w:t>à l</w:t>
      </w:r>
      <w:r w:rsidR="00706414">
        <w:rPr>
          <w:rFonts w:ascii="Encode Sans" w:hAnsi="Encode Sans"/>
        </w:rPr>
        <w:t>’</w:t>
      </w:r>
      <w:r w:rsidRPr="00437B6E">
        <w:rPr>
          <w:rFonts w:ascii="Encode Sans" w:hAnsi="Encode Sans"/>
        </w:rPr>
        <w:t>exploitation commerciale</w:t>
      </w:r>
      <w:r w:rsidR="00247449">
        <w:rPr>
          <w:rFonts w:ascii="Encode Sans" w:hAnsi="Encode Sans"/>
        </w:rPr>
        <w:t>.</w:t>
      </w:r>
      <w:r w:rsidRPr="00437B6E">
        <w:rPr>
          <w:rFonts w:ascii="Encode Sans" w:hAnsi="Encode Sans"/>
        </w:rPr>
        <w:t> »</w:t>
      </w:r>
    </w:p>
    <w:p w14:paraId="6228D159" w14:textId="77777777" w:rsidR="00C202F5" w:rsidRPr="00247449" w:rsidRDefault="00C202F5" w:rsidP="00437B6E">
      <w:pPr>
        <w:pBdr>
          <w:top w:val="nil"/>
          <w:left w:val="nil"/>
          <w:bottom w:val="nil"/>
          <w:right w:val="nil"/>
          <w:between w:val="nil"/>
        </w:pBdr>
        <w:spacing w:after="0"/>
        <w:rPr>
          <w:rFonts w:ascii="Encode Sans" w:eastAsia="Arial" w:hAnsi="Encode Sans" w:cs="Arial"/>
          <w:sz w:val="22"/>
          <w:szCs w:val="22"/>
        </w:rPr>
      </w:pPr>
    </w:p>
    <w:p w14:paraId="48503932" w14:textId="2E098FB0" w:rsidR="00C818B8" w:rsidRPr="00437B6E" w:rsidRDefault="00C818B8" w:rsidP="00437B6E">
      <w:pPr>
        <w:pBdr>
          <w:top w:val="nil"/>
          <w:left w:val="nil"/>
          <w:bottom w:val="nil"/>
          <w:right w:val="nil"/>
          <w:between w:val="nil"/>
        </w:pBdr>
        <w:rPr>
          <w:rFonts w:ascii="Encode Sans" w:hAnsi="Encode Sans"/>
        </w:rPr>
      </w:pPr>
      <w:proofErr w:type="spellStart"/>
      <w:r w:rsidRPr="00437B6E">
        <w:rPr>
          <w:rFonts w:ascii="Encode Sans" w:hAnsi="Encode Sans"/>
        </w:rPr>
        <w:t>Stellantis</w:t>
      </w:r>
      <w:proofErr w:type="spellEnd"/>
      <w:r w:rsidRPr="00437B6E">
        <w:rPr>
          <w:rFonts w:ascii="Encode Sans" w:hAnsi="Encode Sans"/>
        </w:rPr>
        <w:t xml:space="preserve"> a renforcé son approvisionnement en hydroxyde de lithium à faible teneur en carbone plus tôt cette année, en signant des accords avec </w:t>
      </w:r>
      <w:hyperlink r:id="rId14" w:history="1">
        <w:r w:rsidRPr="00437B6E">
          <w:rPr>
            <w:rStyle w:val="Hyperlink"/>
            <w:rFonts w:ascii="Encode Sans" w:hAnsi="Encode Sans"/>
            <w:u w:val="single"/>
          </w:rPr>
          <w:t>Vulcan Energy</w:t>
        </w:r>
      </w:hyperlink>
      <w:r w:rsidRPr="00437B6E">
        <w:rPr>
          <w:rFonts w:ascii="Encode Sans" w:hAnsi="Encode Sans"/>
        </w:rPr>
        <w:t xml:space="preserve"> et </w:t>
      </w:r>
      <w:hyperlink r:id="rId15" w:history="1">
        <w:proofErr w:type="spellStart"/>
        <w:r w:rsidRPr="00437B6E">
          <w:rPr>
            <w:rStyle w:val="Hyperlink"/>
            <w:rFonts w:ascii="Encode Sans" w:hAnsi="Encode Sans"/>
            <w:u w:val="single"/>
          </w:rPr>
          <w:t>Controlled</w:t>
        </w:r>
        <w:proofErr w:type="spellEnd"/>
        <w:r w:rsidRPr="00437B6E">
          <w:rPr>
            <w:rStyle w:val="Hyperlink"/>
            <w:rFonts w:ascii="Encode Sans" w:hAnsi="Encode Sans"/>
            <w:u w:val="single"/>
          </w:rPr>
          <w:t xml:space="preserve"> Thermal </w:t>
        </w:r>
        <w:proofErr w:type="spellStart"/>
        <w:r w:rsidRPr="00437B6E">
          <w:rPr>
            <w:rStyle w:val="Hyperlink"/>
            <w:rFonts w:ascii="Encode Sans" w:hAnsi="Encode Sans"/>
            <w:u w:val="single"/>
          </w:rPr>
          <w:t>Resources</w:t>
        </w:r>
        <w:proofErr w:type="spellEnd"/>
      </w:hyperlink>
      <w:r w:rsidR="001B647A">
        <w:rPr>
          <w:rFonts w:asciiTheme="minorHAnsi" w:hAnsiTheme="minorHAnsi"/>
        </w:rPr>
        <w:t xml:space="preserve"> </w:t>
      </w:r>
      <w:r w:rsidRPr="00437B6E">
        <w:rPr>
          <w:rFonts w:ascii="Encode Sans" w:hAnsi="Encode Sans"/>
        </w:rPr>
        <w:t>pour</w:t>
      </w:r>
      <w:r w:rsidR="001B647A" w:rsidRPr="008E3129">
        <w:rPr>
          <w:rFonts w:ascii="Encode Sans" w:hAnsi="Encode Sans"/>
        </w:rPr>
        <w:t>, respectivement</w:t>
      </w:r>
      <w:r w:rsidR="001B647A" w:rsidRPr="001B647A">
        <w:rPr>
          <w:rFonts w:ascii="Encode Sans" w:hAnsi="Encode Sans"/>
        </w:rPr>
        <w:t xml:space="preserve"> </w:t>
      </w:r>
      <w:r w:rsidRPr="00437B6E">
        <w:rPr>
          <w:rFonts w:ascii="Encode Sans" w:hAnsi="Encode Sans"/>
        </w:rPr>
        <w:t>l</w:t>
      </w:r>
      <w:r w:rsidR="00706414">
        <w:rPr>
          <w:rFonts w:ascii="Encode Sans" w:hAnsi="Encode Sans"/>
        </w:rPr>
        <w:t>’</w:t>
      </w:r>
      <w:r w:rsidRPr="00437B6E">
        <w:rPr>
          <w:rFonts w:ascii="Encode Sans" w:hAnsi="Encode Sans"/>
        </w:rPr>
        <w:t>Europe et l</w:t>
      </w:r>
      <w:r w:rsidR="00706414">
        <w:rPr>
          <w:rFonts w:ascii="Encode Sans" w:hAnsi="Encode Sans"/>
        </w:rPr>
        <w:t>’</w:t>
      </w:r>
      <w:r w:rsidRPr="00437B6E">
        <w:rPr>
          <w:rFonts w:ascii="Encode Sans" w:hAnsi="Encode Sans"/>
        </w:rPr>
        <w:t xml:space="preserve">Amérique du Nord. </w:t>
      </w:r>
    </w:p>
    <w:p w14:paraId="6F62FFB6" w14:textId="30230E57" w:rsidR="00DA44D2" w:rsidRPr="00437B6E" w:rsidRDefault="00DA44D2" w:rsidP="00437B6E">
      <w:pPr>
        <w:pBdr>
          <w:top w:val="nil"/>
          <w:left w:val="nil"/>
          <w:bottom w:val="nil"/>
          <w:right w:val="nil"/>
          <w:between w:val="nil"/>
        </w:pBdr>
        <w:rPr>
          <w:rFonts w:ascii="Encode Sans" w:hAnsi="Encode Sans"/>
        </w:rPr>
      </w:pPr>
      <w:r w:rsidRPr="00437B6E">
        <w:rPr>
          <w:rFonts w:ascii="Encode Sans" w:hAnsi="Encode Sans"/>
        </w:rPr>
        <w:t>La conclusion du protocole d</w:t>
      </w:r>
      <w:r w:rsidR="00706414">
        <w:rPr>
          <w:rFonts w:ascii="Encode Sans" w:hAnsi="Encode Sans"/>
        </w:rPr>
        <w:t>’</w:t>
      </w:r>
      <w:r w:rsidRPr="00437B6E">
        <w:rPr>
          <w:rFonts w:ascii="Encode Sans" w:hAnsi="Encode Sans"/>
        </w:rPr>
        <w:t xml:space="preserve">accord non contraignant est soumise aux conditions suspensives habituelles, notamment aux approbations réglementaires. </w:t>
      </w:r>
    </w:p>
    <w:p w14:paraId="2E5CA74B" w14:textId="7BECE320" w:rsidR="007F0624" w:rsidRPr="00044E26" w:rsidRDefault="007F0624" w:rsidP="007F0624">
      <w:pPr>
        <w:jc w:val="center"/>
        <w:rPr>
          <w:rFonts w:ascii="Encode Sans" w:eastAsia="Encode Sans" w:hAnsi="Encode Sans" w:cs="Arial"/>
          <w:sz w:val="22"/>
          <w:szCs w:val="22"/>
        </w:rPr>
      </w:pPr>
      <w:r>
        <w:rPr>
          <w:rFonts w:ascii="Encode Sans" w:hAnsi="Encode Sans"/>
          <w:sz w:val="22"/>
          <w:szCs w:val="22"/>
        </w:rPr>
        <w:t># # #</w:t>
      </w:r>
    </w:p>
    <w:p w14:paraId="46D4EF33" w14:textId="77777777" w:rsidR="00211BDA" w:rsidRPr="00044E26" w:rsidRDefault="00211BDA" w:rsidP="00E653B0">
      <w:pPr>
        <w:spacing w:after="0"/>
        <w:rPr>
          <w:rFonts w:ascii="Encode Sans" w:eastAsia="Times New Roman" w:hAnsi="Encode Sans" w:cs="Arial"/>
          <w:b/>
          <w:bCs/>
          <w:sz w:val="22"/>
          <w:szCs w:val="22"/>
        </w:rPr>
      </w:pPr>
      <w:bookmarkStart w:id="0" w:name="_Hlk106354158"/>
      <w:r>
        <w:rPr>
          <w:rFonts w:ascii="Encode Sans" w:hAnsi="Encode Sans"/>
          <w:b/>
          <w:bCs/>
          <w:sz w:val="22"/>
          <w:szCs w:val="22"/>
        </w:rPr>
        <w:t xml:space="preserve">À propos de </w:t>
      </w:r>
      <w:proofErr w:type="spellStart"/>
      <w:r>
        <w:rPr>
          <w:rFonts w:ascii="Encode Sans" w:hAnsi="Encode Sans"/>
          <w:b/>
          <w:bCs/>
          <w:sz w:val="22"/>
          <w:szCs w:val="22"/>
        </w:rPr>
        <w:t>Stellantis</w:t>
      </w:r>
      <w:proofErr w:type="spellEnd"/>
    </w:p>
    <w:p w14:paraId="71E955B6" w14:textId="58C20219" w:rsidR="00211BDA" w:rsidRPr="00437B6E" w:rsidRDefault="00F03556">
      <w:pPr>
        <w:spacing w:after="0"/>
        <w:rPr>
          <w:rFonts w:ascii="Encode Sans" w:eastAsia="Times New Roman" w:hAnsi="Encode Sans" w:cs="Arial"/>
          <w:i/>
          <w:iCs/>
          <w:sz w:val="22"/>
          <w:szCs w:val="22"/>
        </w:rPr>
      </w:pPr>
      <w:proofErr w:type="spellStart"/>
      <w:r w:rsidRPr="00437B6E">
        <w:rPr>
          <w:rFonts w:ascii="Encode Sans" w:hAnsi="Encode Sans"/>
          <w:i/>
          <w:iCs/>
          <w:sz w:val="22"/>
          <w:szCs w:val="22"/>
        </w:rPr>
        <w:t>Stellantis</w:t>
      </w:r>
      <w:proofErr w:type="spellEnd"/>
      <w:r w:rsidRPr="00437B6E">
        <w:rPr>
          <w:rFonts w:ascii="Encode Sans" w:hAnsi="Encode Sans"/>
          <w:i/>
          <w:iCs/>
          <w:sz w:val="22"/>
          <w:szCs w:val="22"/>
        </w:rPr>
        <w:t xml:space="preserve"> N.V. (NYSE / MTA / Euronext Paris : STLA) fait partie des principaux constructeurs automobiles et fournisseurs de services de mobilité internationaux. </w:t>
      </w:r>
      <w:proofErr w:type="spellStart"/>
      <w:r w:rsidRPr="00437B6E">
        <w:rPr>
          <w:rFonts w:ascii="Encode Sans" w:hAnsi="Encode Sans"/>
          <w:i/>
          <w:iCs/>
          <w:sz w:val="22"/>
          <w:szCs w:val="22"/>
        </w:rPr>
        <w:t>Abarth</w:t>
      </w:r>
      <w:proofErr w:type="spellEnd"/>
      <w:r w:rsidRPr="00437B6E">
        <w:rPr>
          <w:rFonts w:ascii="Encode Sans" w:hAnsi="Encode Sans"/>
          <w:i/>
          <w:iCs/>
          <w:sz w:val="22"/>
          <w:szCs w:val="22"/>
        </w:rPr>
        <w:t xml:space="preserve">, Alfa Romeo, Chrysler, Citroën, Dodge, DS Automobiles, Fiat, Jeep®, Lancia, Maserati, Opel, Peugeot, Ram, Vauxhall, Free2move et </w:t>
      </w:r>
      <w:proofErr w:type="spellStart"/>
      <w:r w:rsidRPr="00437B6E">
        <w:rPr>
          <w:rFonts w:ascii="Encode Sans" w:hAnsi="Encode Sans"/>
          <w:i/>
          <w:iCs/>
          <w:sz w:val="22"/>
          <w:szCs w:val="22"/>
        </w:rPr>
        <w:t>Leasys</w:t>
      </w:r>
      <w:proofErr w:type="spellEnd"/>
      <w:r w:rsidRPr="00437B6E">
        <w:rPr>
          <w:rFonts w:ascii="Encode Sans" w:hAnsi="Encode Sans"/>
          <w:i/>
          <w:iCs/>
          <w:sz w:val="22"/>
          <w:szCs w:val="22"/>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437B6E">
        <w:rPr>
          <w:rFonts w:ascii="Encode Sans" w:hAnsi="Encode Sans"/>
          <w:i/>
          <w:iCs/>
          <w:sz w:val="22"/>
          <w:szCs w:val="22"/>
        </w:rPr>
        <w:t>company</w:t>
      </w:r>
      <w:proofErr w:type="spellEnd"/>
      <w:r w:rsidRPr="00437B6E">
        <w:rPr>
          <w:rFonts w:ascii="Encode Sans" w:hAnsi="Encode Sans"/>
          <w:i/>
          <w:iCs/>
          <w:sz w:val="22"/>
          <w:szCs w:val="22"/>
        </w:rPr>
        <w:t xml:space="preserve"> de mobilité durable, en termes de qualité et non de taille, tout en créant encore plus de valeur pour l’ensemble de nos partenaires et des communautés au sein desquelles nous opérons. Pour en savoir plus, </w:t>
      </w:r>
      <w:hyperlink r:id="rId16" w:history="1">
        <w:r w:rsidR="00E4756F" w:rsidRPr="00437B6E">
          <w:rPr>
            <w:rStyle w:val="Hyperlink"/>
            <w:rFonts w:ascii="Encode Sans" w:hAnsi="Encode Sans"/>
            <w:i/>
            <w:iCs/>
            <w:sz w:val="22"/>
            <w:szCs w:val="22"/>
          </w:rPr>
          <w:t>https://www.stellantis.com/fr</w:t>
        </w:r>
      </w:hyperlink>
    </w:p>
    <w:bookmarkEnd w:id="0"/>
    <w:p w14:paraId="4B1252EB" w14:textId="466624CF" w:rsidR="009D782E" w:rsidRPr="00044E26" w:rsidRDefault="009D782E">
      <w:pPr>
        <w:pBdr>
          <w:top w:val="nil"/>
          <w:left w:val="nil"/>
          <w:bottom w:val="nil"/>
          <w:right w:val="nil"/>
          <w:between w:val="nil"/>
        </w:pBdr>
        <w:spacing w:after="0"/>
        <w:jc w:val="left"/>
        <w:rPr>
          <w:rFonts w:ascii="Encode Sans" w:eastAsia="Arial" w:hAnsi="Encode Sans" w:cs="Arial"/>
          <w:iCs/>
          <w:color w:val="000000"/>
          <w:sz w:val="22"/>
          <w:szCs w:val="22"/>
        </w:rPr>
      </w:pPr>
    </w:p>
    <w:p w14:paraId="579EFB0E" w14:textId="25D77012" w:rsidR="00E4756F" w:rsidRDefault="00E4756F">
      <w:pPr>
        <w:rPr>
          <w:rFonts w:ascii="Encode Sans" w:eastAsia="Arial" w:hAnsi="Encode Sans" w:cs="Arial"/>
          <w:iCs/>
          <w:color w:val="000000"/>
          <w:sz w:val="22"/>
          <w:szCs w:val="22"/>
        </w:rPr>
      </w:pPr>
      <w:r>
        <w:rPr>
          <w:rFonts w:ascii="Encode Sans" w:eastAsia="Arial" w:hAnsi="Encode Sans" w:cs="Arial"/>
          <w:iCs/>
          <w:color w:val="000000"/>
          <w:sz w:val="22"/>
          <w:szCs w:val="22"/>
        </w:rPr>
        <w:br w:type="page"/>
      </w:r>
    </w:p>
    <w:p w14:paraId="54F32719" w14:textId="77777777" w:rsidR="00DF0988" w:rsidRPr="00044E26" w:rsidRDefault="00DF0988">
      <w:pPr>
        <w:pBdr>
          <w:top w:val="nil"/>
          <w:left w:val="nil"/>
          <w:bottom w:val="nil"/>
          <w:right w:val="nil"/>
          <w:between w:val="nil"/>
        </w:pBdr>
        <w:spacing w:after="0"/>
        <w:jc w:val="left"/>
        <w:rPr>
          <w:rFonts w:ascii="Encode Sans" w:eastAsia="Arial" w:hAnsi="Encode Sans" w:cs="Arial"/>
          <w:iCs/>
          <w:color w:val="000000"/>
          <w:sz w:val="22"/>
          <w:szCs w:val="22"/>
        </w:rPr>
      </w:pPr>
    </w:p>
    <w:p w14:paraId="63216D44" w14:textId="77777777" w:rsidR="00DF0988" w:rsidRPr="00044E26" w:rsidRDefault="00DF0988" w:rsidP="00DF0988">
      <w:pPr>
        <w:spacing w:after="0"/>
        <w:jc w:val="left"/>
        <w:rPr>
          <w:rFonts w:ascii="Encode Sans" w:eastAsia="Times New Roman" w:hAnsi="Encode Sans" w:cs="Times New Roman"/>
          <w:sz w:val="22"/>
          <w:szCs w:val="22"/>
        </w:rPr>
      </w:pPr>
      <w:r>
        <w:rPr>
          <w:rFonts w:ascii="Encode Sans" w:hAnsi="Encode Sans"/>
          <w:b/>
          <w:bCs/>
          <w:sz w:val="22"/>
          <w:szCs w:val="22"/>
        </w:rPr>
        <w:t xml:space="preserve">À propos de GME </w:t>
      </w:r>
      <w:proofErr w:type="spellStart"/>
      <w:r>
        <w:rPr>
          <w:rFonts w:ascii="Encode Sans" w:hAnsi="Encode Sans"/>
          <w:b/>
          <w:bCs/>
          <w:sz w:val="22"/>
          <w:szCs w:val="22"/>
        </w:rPr>
        <w:t>Resources</w:t>
      </w:r>
      <w:proofErr w:type="spellEnd"/>
      <w:r>
        <w:rPr>
          <w:rFonts w:ascii="Encode Sans" w:hAnsi="Encode Sans"/>
          <w:b/>
          <w:bCs/>
          <w:sz w:val="22"/>
          <w:szCs w:val="22"/>
        </w:rPr>
        <w:t xml:space="preserve"> Limited :</w:t>
      </w:r>
    </w:p>
    <w:p w14:paraId="18F40407" w14:textId="4CA041F4" w:rsidR="00DF0988" w:rsidRPr="00044E26" w:rsidRDefault="00DF0988" w:rsidP="00C202F5">
      <w:pPr>
        <w:spacing w:before="120"/>
        <w:rPr>
          <w:rFonts w:ascii="Encode Sans" w:eastAsia="Arial" w:hAnsi="Encode Sans" w:cs="Arial"/>
          <w:iCs/>
          <w:color w:val="000000"/>
          <w:sz w:val="22"/>
          <w:szCs w:val="22"/>
        </w:rPr>
      </w:pPr>
      <w:r w:rsidRPr="00437B6E">
        <w:rPr>
          <w:rFonts w:ascii="Encode Sans" w:hAnsi="Encode Sans"/>
          <w:i/>
          <w:iCs/>
          <w:sz w:val="22"/>
          <w:szCs w:val="22"/>
        </w:rPr>
        <w:t xml:space="preserve">GME </w:t>
      </w:r>
      <w:proofErr w:type="spellStart"/>
      <w:r w:rsidRPr="00437B6E">
        <w:rPr>
          <w:rFonts w:ascii="Encode Sans" w:hAnsi="Encode Sans"/>
          <w:i/>
          <w:iCs/>
          <w:sz w:val="22"/>
          <w:szCs w:val="22"/>
        </w:rPr>
        <w:t>Resources</w:t>
      </w:r>
      <w:proofErr w:type="spellEnd"/>
      <w:r w:rsidRPr="00437B6E">
        <w:rPr>
          <w:rFonts w:ascii="Encode Sans" w:hAnsi="Encode Sans"/>
          <w:i/>
          <w:iCs/>
          <w:sz w:val="22"/>
          <w:szCs w:val="22"/>
        </w:rPr>
        <w:t xml:space="preserve"> Limited est une société d'exploration et de développement cotée à l'ASX qui possède des intérêts dans le nickel, le cobalt et l'or en Australie occidentale. Le principal actif de GME est son projet </w:t>
      </w:r>
      <w:proofErr w:type="spellStart"/>
      <w:r w:rsidRPr="00437B6E">
        <w:rPr>
          <w:rFonts w:ascii="Encode Sans" w:hAnsi="Encode Sans"/>
          <w:i/>
          <w:iCs/>
          <w:sz w:val="22"/>
          <w:szCs w:val="22"/>
        </w:rPr>
        <w:t>NiWest</w:t>
      </w:r>
      <w:proofErr w:type="spellEnd"/>
      <w:r w:rsidRPr="00437B6E">
        <w:rPr>
          <w:rFonts w:ascii="Encode Sans" w:hAnsi="Encode Sans"/>
          <w:i/>
          <w:iCs/>
          <w:sz w:val="22"/>
          <w:szCs w:val="22"/>
        </w:rPr>
        <w:t xml:space="preserve"> Nickel-Cobalt, détenu à 100 % et situé à proximité de l'exploitation Murrin </w:t>
      </w:r>
      <w:proofErr w:type="spellStart"/>
      <w:r w:rsidRPr="00437B6E">
        <w:rPr>
          <w:rFonts w:ascii="Encode Sans" w:hAnsi="Encode Sans"/>
          <w:i/>
          <w:iCs/>
          <w:sz w:val="22"/>
          <w:szCs w:val="22"/>
        </w:rPr>
        <w:t>Murrin</w:t>
      </w:r>
      <w:proofErr w:type="spellEnd"/>
      <w:r w:rsidRPr="00437B6E">
        <w:rPr>
          <w:rFonts w:ascii="Encode Sans" w:hAnsi="Encode Sans"/>
          <w:i/>
          <w:iCs/>
          <w:sz w:val="22"/>
          <w:szCs w:val="22"/>
        </w:rPr>
        <w:t xml:space="preserve"> de </w:t>
      </w:r>
      <w:proofErr w:type="spellStart"/>
      <w:r w:rsidRPr="00437B6E">
        <w:rPr>
          <w:rFonts w:ascii="Encode Sans" w:hAnsi="Encode Sans"/>
          <w:i/>
          <w:iCs/>
          <w:sz w:val="22"/>
          <w:szCs w:val="22"/>
        </w:rPr>
        <w:t>Glencore</w:t>
      </w:r>
      <w:proofErr w:type="spellEnd"/>
      <w:r w:rsidRPr="00437B6E">
        <w:rPr>
          <w:rFonts w:ascii="Encode Sans" w:hAnsi="Encode Sans"/>
          <w:i/>
          <w:iCs/>
          <w:sz w:val="22"/>
          <w:szCs w:val="22"/>
        </w:rPr>
        <w:t xml:space="preserve">. La Société a réalisé une étude de préfaisabilité qui a confirmé la viabilité technique et économique des activités de lixiviation en tas et d'extraction directe par solvant dans l'un des plus grands et des plus riches gisements de nickel/cobalt encore inexploités d'Australie. De plus amples informations sont disponibles sur le site Internet de GME : </w:t>
      </w:r>
      <w:hyperlink r:id="rId17" w:history="1">
        <w:r w:rsidRPr="00437B6E">
          <w:rPr>
            <w:rFonts w:ascii="Encode Sans" w:hAnsi="Encode Sans"/>
            <w:i/>
            <w:iCs/>
            <w:color w:val="0000FF"/>
            <w:sz w:val="22"/>
            <w:szCs w:val="22"/>
            <w:u w:val="single"/>
          </w:rPr>
          <w:t>www.gmeresources.com.au</w:t>
        </w:r>
      </w:hyperlink>
    </w:p>
    <w:p w14:paraId="295F216C" w14:textId="77777777" w:rsidR="00DF61C4" w:rsidRPr="00044E26" w:rsidRDefault="00DF61C4">
      <w:pPr>
        <w:spacing w:after="0"/>
        <w:jc w:val="left"/>
        <w:rPr>
          <w:rFonts w:ascii="Encode Sans" w:hAnsi="Encode Sans"/>
          <w:b/>
          <w:i/>
          <w:sz w:val="22"/>
          <w:szCs w:val="22"/>
        </w:rPr>
      </w:pPr>
      <w:bookmarkStart w:id="1" w:name="_heading=h.gjdgxs"/>
      <w:bookmarkEnd w:id="1"/>
    </w:p>
    <w:p w14:paraId="09667F5E" w14:textId="77777777" w:rsidR="00211BDA" w:rsidRPr="00044E26" w:rsidRDefault="00211BDA" w:rsidP="00211BDA">
      <w:pPr>
        <w:spacing w:after="0"/>
        <w:rPr>
          <w:rFonts w:ascii="Encode Sans" w:eastAsia="Arial" w:hAnsi="Encode Sans" w:cs="Arial"/>
          <w:b/>
          <w:sz w:val="22"/>
          <w:szCs w:val="22"/>
        </w:rPr>
      </w:pPr>
      <w:r>
        <w:rPr>
          <w:rFonts w:ascii="Encode Sans" w:hAnsi="Encode Sans"/>
          <w:b/>
          <w:sz w:val="22"/>
          <w:szCs w:val="22"/>
        </w:rPr>
        <w:t>Contacts :</w:t>
      </w:r>
    </w:p>
    <w:p w14:paraId="3C30E1AF" w14:textId="77777777" w:rsidR="00211BDA" w:rsidRPr="00044E26" w:rsidRDefault="00211BDA" w:rsidP="00211BDA">
      <w:pPr>
        <w:spacing w:after="0"/>
        <w:rPr>
          <w:rFonts w:ascii="Encode Sans" w:eastAsiaTheme="minorEastAsia" w:hAnsi="Encode Sans" w:cs="Arial"/>
          <w:sz w:val="22"/>
          <w:szCs w:val="22"/>
        </w:rPr>
      </w:pPr>
    </w:p>
    <w:p w14:paraId="7ED2C733" w14:textId="77777777" w:rsidR="00211BDA" w:rsidRPr="00044E26" w:rsidRDefault="00211BDA" w:rsidP="00211BDA">
      <w:pPr>
        <w:spacing w:after="0"/>
        <w:rPr>
          <w:rFonts w:ascii="Encode Sans" w:hAnsi="Encode Sans" w:cs="Arial"/>
          <w:b/>
          <w:bCs/>
          <w:sz w:val="22"/>
          <w:szCs w:val="22"/>
        </w:rPr>
      </w:pPr>
      <w:proofErr w:type="spellStart"/>
      <w:r>
        <w:rPr>
          <w:rFonts w:ascii="Encode Sans" w:hAnsi="Encode Sans"/>
          <w:b/>
          <w:bCs/>
          <w:sz w:val="22"/>
          <w:szCs w:val="22"/>
        </w:rPr>
        <w:t>Stellantis</w:t>
      </w:r>
      <w:proofErr w:type="spellEnd"/>
    </w:p>
    <w:p w14:paraId="7730F5DF" w14:textId="77777777" w:rsidR="00211BDA" w:rsidRPr="00044E26" w:rsidRDefault="00211BDA" w:rsidP="00211BDA">
      <w:pPr>
        <w:spacing w:after="0"/>
        <w:rPr>
          <w:rFonts w:ascii="Encode Sans" w:hAnsi="Encode Sans" w:cs="Arial"/>
          <w:sz w:val="22"/>
          <w:szCs w:val="22"/>
        </w:rPr>
      </w:pPr>
    </w:p>
    <w:p w14:paraId="2C556014" w14:textId="77777777" w:rsidR="00211BDA" w:rsidRPr="00044E26" w:rsidRDefault="00211BDA" w:rsidP="00211BDA">
      <w:pPr>
        <w:tabs>
          <w:tab w:val="left" w:pos="2592"/>
        </w:tabs>
        <w:spacing w:after="0"/>
        <w:rPr>
          <w:rFonts w:ascii="Encode Sans" w:eastAsia="Arial" w:hAnsi="Encode Sans" w:cs="Arial"/>
          <w:b/>
          <w:bCs/>
          <w:sz w:val="22"/>
          <w:szCs w:val="22"/>
        </w:rPr>
      </w:pPr>
      <w:proofErr w:type="spellStart"/>
      <w:r>
        <w:rPr>
          <w:rFonts w:ascii="Encode Sans" w:hAnsi="Encode Sans"/>
          <w:b/>
          <w:bCs/>
          <w:sz w:val="22"/>
          <w:szCs w:val="22"/>
        </w:rPr>
        <w:t>Fernão</w:t>
      </w:r>
      <w:proofErr w:type="spellEnd"/>
      <w:r>
        <w:rPr>
          <w:rFonts w:ascii="Encode Sans" w:hAnsi="Encode Sans"/>
          <w:b/>
          <w:bCs/>
          <w:sz w:val="22"/>
          <w:szCs w:val="22"/>
        </w:rPr>
        <w:t xml:space="preserve"> Silveira </w:t>
      </w:r>
    </w:p>
    <w:p w14:paraId="6253A0AD" w14:textId="77777777" w:rsidR="00211BDA" w:rsidRPr="00044E26" w:rsidRDefault="00211BDA" w:rsidP="00211BDA">
      <w:pPr>
        <w:tabs>
          <w:tab w:val="left" w:pos="2592"/>
        </w:tabs>
        <w:spacing w:after="0"/>
        <w:rPr>
          <w:rFonts w:ascii="Encode Sans" w:eastAsia="Arial" w:hAnsi="Encode Sans" w:cs="Arial"/>
          <w:sz w:val="22"/>
          <w:szCs w:val="22"/>
        </w:rPr>
      </w:pPr>
      <w:r>
        <w:rPr>
          <w:rFonts w:ascii="Encode Sans" w:hAnsi="Encode Sans"/>
          <w:sz w:val="22"/>
          <w:szCs w:val="22"/>
        </w:rPr>
        <w:t xml:space="preserve">Global Communications / </w:t>
      </w:r>
      <w:proofErr w:type="spellStart"/>
      <w:r>
        <w:rPr>
          <w:rFonts w:ascii="Encode Sans" w:hAnsi="Encode Sans"/>
          <w:sz w:val="22"/>
          <w:szCs w:val="22"/>
        </w:rPr>
        <w:t>Stellantis</w:t>
      </w:r>
      <w:proofErr w:type="spellEnd"/>
    </w:p>
    <w:p w14:paraId="3BFC46EB" w14:textId="77777777" w:rsidR="00A14036" w:rsidRPr="00E51B39" w:rsidRDefault="00A14036" w:rsidP="00A14036">
      <w:pPr>
        <w:tabs>
          <w:tab w:val="left" w:pos="2592"/>
        </w:tabs>
        <w:spacing w:after="0"/>
        <w:rPr>
          <w:rFonts w:ascii="Encode Sans" w:eastAsia="Arial" w:hAnsi="Encode Sans" w:cs="Arial"/>
          <w:sz w:val="22"/>
          <w:szCs w:val="22"/>
          <w:lang w:val="en-US"/>
        </w:rPr>
      </w:pPr>
      <w:r w:rsidRPr="00E51B39">
        <w:rPr>
          <w:rFonts w:ascii="Encode Sans" w:hAnsi="Encode Sans"/>
          <w:sz w:val="22"/>
          <w:szCs w:val="22"/>
          <w:lang w:val="en-US"/>
        </w:rPr>
        <w:t>+31 6 43 25 43 41</w:t>
      </w:r>
    </w:p>
    <w:p w14:paraId="3D47FCA4" w14:textId="77777777" w:rsidR="00211BDA" w:rsidRPr="00E51B39" w:rsidRDefault="00211BDA" w:rsidP="00211BDA">
      <w:pPr>
        <w:tabs>
          <w:tab w:val="left" w:pos="2592"/>
        </w:tabs>
        <w:spacing w:after="0"/>
        <w:rPr>
          <w:rFonts w:ascii="Encode Sans" w:eastAsia="Arial" w:hAnsi="Encode Sans" w:cs="Arial"/>
          <w:sz w:val="22"/>
          <w:szCs w:val="22"/>
          <w:lang w:val="en-US"/>
        </w:rPr>
      </w:pPr>
      <w:r w:rsidRPr="00E51B39">
        <w:rPr>
          <w:rFonts w:ascii="Encode Sans" w:hAnsi="Encode Sans"/>
          <w:sz w:val="22"/>
          <w:szCs w:val="22"/>
          <w:lang w:val="en-US"/>
        </w:rPr>
        <w:t xml:space="preserve">fernao.silveira@stellantis.com </w:t>
      </w:r>
    </w:p>
    <w:p w14:paraId="4C7FCF06" w14:textId="3F40B032" w:rsidR="00211BDA" w:rsidRPr="00E51B39" w:rsidRDefault="00211BDA" w:rsidP="00211BDA">
      <w:pPr>
        <w:tabs>
          <w:tab w:val="left" w:pos="2592"/>
        </w:tabs>
        <w:spacing w:after="0"/>
        <w:rPr>
          <w:rFonts w:ascii="Encode Sans" w:eastAsia="Arial" w:hAnsi="Encode Sans" w:cs="Arial"/>
          <w:sz w:val="22"/>
          <w:szCs w:val="22"/>
          <w:lang w:val="en-US"/>
        </w:rPr>
      </w:pPr>
    </w:p>
    <w:p w14:paraId="2050AF72" w14:textId="77777777" w:rsidR="00D013CE" w:rsidRPr="00E51B39" w:rsidRDefault="00D013CE" w:rsidP="00D013CE">
      <w:pPr>
        <w:tabs>
          <w:tab w:val="left" w:pos="2592"/>
        </w:tabs>
        <w:spacing w:after="0"/>
        <w:rPr>
          <w:rFonts w:ascii="Encode Sans" w:eastAsia="Arial" w:hAnsi="Encode Sans" w:cs="Arial"/>
          <w:b/>
          <w:bCs/>
          <w:sz w:val="22"/>
          <w:szCs w:val="22"/>
          <w:lang w:val="en-US"/>
        </w:rPr>
      </w:pPr>
      <w:r w:rsidRPr="00E51B39">
        <w:rPr>
          <w:rFonts w:ascii="Encode Sans" w:hAnsi="Encode Sans"/>
          <w:b/>
          <w:bCs/>
          <w:sz w:val="22"/>
          <w:szCs w:val="22"/>
          <w:lang w:val="en-US"/>
        </w:rPr>
        <w:t>Valérie GILLOT</w:t>
      </w:r>
    </w:p>
    <w:p w14:paraId="52677B6F" w14:textId="77777777" w:rsidR="00D013CE" w:rsidRPr="00E51B39" w:rsidRDefault="00D013CE" w:rsidP="00D013CE">
      <w:pPr>
        <w:tabs>
          <w:tab w:val="left" w:pos="2592"/>
        </w:tabs>
        <w:spacing w:after="0"/>
        <w:rPr>
          <w:rFonts w:ascii="Encode Sans" w:eastAsia="Arial" w:hAnsi="Encode Sans" w:cs="Arial"/>
          <w:sz w:val="22"/>
          <w:szCs w:val="22"/>
          <w:lang w:val="en-US"/>
        </w:rPr>
      </w:pPr>
      <w:r w:rsidRPr="00E51B39">
        <w:rPr>
          <w:rFonts w:ascii="Encode Sans" w:hAnsi="Encode Sans"/>
          <w:sz w:val="22"/>
          <w:szCs w:val="22"/>
          <w:lang w:val="en-US"/>
        </w:rPr>
        <w:t>+33 6 83 92 92 96</w:t>
      </w:r>
    </w:p>
    <w:p w14:paraId="536B4C35" w14:textId="66F7350D" w:rsidR="00D013CE" w:rsidRPr="00E51B39" w:rsidRDefault="00D013CE" w:rsidP="00D013CE">
      <w:pPr>
        <w:tabs>
          <w:tab w:val="left" w:pos="2592"/>
        </w:tabs>
        <w:spacing w:after="0"/>
        <w:rPr>
          <w:rFonts w:ascii="Encode Sans" w:eastAsia="Arial" w:hAnsi="Encode Sans" w:cs="Arial"/>
          <w:sz w:val="22"/>
          <w:szCs w:val="22"/>
          <w:lang w:val="en-US"/>
        </w:rPr>
      </w:pPr>
      <w:r w:rsidRPr="00E51B39">
        <w:rPr>
          <w:rFonts w:ascii="Encode Sans" w:hAnsi="Encode Sans"/>
          <w:sz w:val="22"/>
          <w:szCs w:val="22"/>
          <w:lang w:val="en-US"/>
        </w:rPr>
        <w:t>valerie.gillot@stellantis.com</w:t>
      </w:r>
    </w:p>
    <w:p w14:paraId="75764EB8" w14:textId="77777777" w:rsidR="00D013CE" w:rsidRPr="00E51B39" w:rsidRDefault="00D013CE" w:rsidP="00211BDA">
      <w:pPr>
        <w:tabs>
          <w:tab w:val="left" w:pos="2592"/>
        </w:tabs>
        <w:spacing w:after="0"/>
        <w:rPr>
          <w:rFonts w:ascii="Encode Sans" w:eastAsia="Arial" w:hAnsi="Encode Sans" w:cs="Arial"/>
          <w:b/>
          <w:bCs/>
          <w:sz w:val="22"/>
          <w:szCs w:val="22"/>
          <w:lang w:val="en-US"/>
        </w:rPr>
      </w:pPr>
    </w:p>
    <w:p w14:paraId="6DDAF8DD" w14:textId="77777777" w:rsidR="00D013CE" w:rsidRPr="00E51B39" w:rsidRDefault="00D013CE" w:rsidP="00D013CE">
      <w:pPr>
        <w:tabs>
          <w:tab w:val="left" w:pos="2592"/>
        </w:tabs>
        <w:spacing w:after="0"/>
        <w:rPr>
          <w:rFonts w:ascii="Encode Sans" w:eastAsia="Arial" w:hAnsi="Encode Sans" w:cs="Arial"/>
          <w:sz w:val="22"/>
          <w:szCs w:val="22"/>
          <w:lang w:val="en-US"/>
        </w:rPr>
      </w:pPr>
      <w:r w:rsidRPr="00E51B39">
        <w:rPr>
          <w:rFonts w:ascii="Encode Sans" w:hAnsi="Encode Sans"/>
          <w:sz w:val="22"/>
          <w:szCs w:val="22"/>
          <w:lang w:val="en-US"/>
        </w:rPr>
        <w:t>communications@stellantis.com</w:t>
      </w:r>
    </w:p>
    <w:p w14:paraId="35BC2B40" w14:textId="0AA18D56" w:rsidR="00D013CE" w:rsidRPr="00E51B39" w:rsidRDefault="00000000" w:rsidP="00D013CE">
      <w:pPr>
        <w:tabs>
          <w:tab w:val="left" w:pos="2592"/>
        </w:tabs>
        <w:spacing w:after="0"/>
        <w:rPr>
          <w:rFonts w:ascii="Encode Sans" w:eastAsia="Arial" w:hAnsi="Encode Sans" w:cs="Arial"/>
          <w:sz w:val="22"/>
          <w:szCs w:val="22"/>
          <w:lang w:val="en-US"/>
        </w:rPr>
      </w:pPr>
      <w:hyperlink r:id="rId18" w:history="1">
        <w:r w:rsidR="00FF6F01" w:rsidRPr="00E51B39">
          <w:rPr>
            <w:rStyle w:val="Hyperlink"/>
            <w:rFonts w:ascii="Encode Sans" w:hAnsi="Encode Sans"/>
            <w:color w:val="auto"/>
            <w:sz w:val="22"/>
            <w:szCs w:val="22"/>
            <w:lang w:val="en-US"/>
          </w:rPr>
          <w:t>www.stellantis.com</w:t>
        </w:r>
      </w:hyperlink>
    </w:p>
    <w:p w14:paraId="6FA374A1" w14:textId="77777777" w:rsidR="00D013CE" w:rsidRPr="00E51B39" w:rsidRDefault="00D013CE" w:rsidP="00D013CE">
      <w:pPr>
        <w:tabs>
          <w:tab w:val="left" w:pos="2592"/>
        </w:tabs>
        <w:spacing w:after="0"/>
        <w:rPr>
          <w:rFonts w:ascii="Encode Sans" w:eastAsia="Arial" w:hAnsi="Encode Sans" w:cs="Arial"/>
          <w:b/>
          <w:bCs/>
          <w:sz w:val="22"/>
          <w:szCs w:val="22"/>
          <w:lang w:val="en-US"/>
        </w:rPr>
      </w:pPr>
    </w:p>
    <w:p w14:paraId="3D55479C" w14:textId="77777777" w:rsidR="00044E26" w:rsidRPr="00E51B39" w:rsidRDefault="00044E26" w:rsidP="00211BDA">
      <w:pPr>
        <w:tabs>
          <w:tab w:val="left" w:pos="2592"/>
        </w:tabs>
        <w:spacing w:after="0"/>
        <w:rPr>
          <w:rFonts w:ascii="Encode Sans" w:eastAsia="Arial" w:hAnsi="Encode Sans" w:cs="Arial"/>
          <w:b/>
          <w:bCs/>
          <w:sz w:val="22"/>
          <w:szCs w:val="22"/>
          <w:lang w:val="en-US"/>
        </w:rPr>
      </w:pPr>
    </w:p>
    <w:p w14:paraId="34853F97" w14:textId="45D2A6C9" w:rsidR="00C202F5" w:rsidRPr="00E51B39" w:rsidRDefault="00C202F5" w:rsidP="00211BDA">
      <w:pPr>
        <w:tabs>
          <w:tab w:val="left" w:pos="2592"/>
        </w:tabs>
        <w:spacing w:after="0"/>
        <w:rPr>
          <w:rFonts w:ascii="Encode Sans" w:eastAsia="Arial" w:hAnsi="Encode Sans" w:cs="Arial"/>
          <w:b/>
          <w:bCs/>
          <w:sz w:val="22"/>
          <w:szCs w:val="22"/>
          <w:lang w:val="en-US"/>
        </w:rPr>
      </w:pPr>
      <w:r w:rsidRPr="00E51B39">
        <w:rPr>
          <w:rFonts w:ascii="Encode Sans" w:hAnsi="Encode Sans"/>
          <w:b/>
          <w:bCs/>
          <w:sz w:val="22"/>
          <w:szCs w:val="22"/>
          <w:lang w:val="en-US"/>
        </w:rPr>
        <w:t>GME Resources Limited</w:t>
      </w:r>
    </w:p>
    <w:p w14:paraId="791A6BA4" w14:textId="77777777" w:rsidR="00D013CE" w:rsidRPr="00E51B39" w:rsidRDefault="00D013CE" w:rsidP="00D013CE">
      <w:pPr>
        <w:tabs>
          <w:tab w:val="left" w:pos="2592"/>
        </w:tabs>
        <w:spacing w:after="0"/>
        <w:rPr>
          <w:rFonts w:ascii="Encode Sans" w:eastAsia="Arial" w:hAnsi="Encode Sans" w:cs="Arial"/>
          <w:b/>
          <w:bCs/>
          <w:sz w:val="22"/>
          <w:szCs w:val="22"/>
          <w:lang w:val="en-US"/>
        </w:rPr>
      </w:pPr>
    </w:p>
    <w:p w14:paraId="4024FF1B" w14:textId="7E28AA4E" w:rsidR="00D013CE" w:rsidRPr="00E51B39" w:rsidRDefault="00D013CE" w:rsidP="00D013CE">
      <w:pPr>
        <w:tabs>
          <w:tab w:val="left" w:pos="2592"/>
        </w:tabs>
        <w:spacing w:after="0"/>
        <w:rPr>
          <w:rFonts w:ascii="Encode Sans" w:eastAsia="Arial" w:hAnsi="Encode Sans" w:cs="Arial"/>
          <w:b/>
          <w:bCs/>
          <w:sz w:val="22"/>
          <w:szCs w:val="22"/>
          <w:lang w:val="en-US"/>
        </w:rPr>
      </w:pPr>
      <w:r w:rsidRPr="00E51B39">
        <w:rPr>
          <w:rFonts w:ascii="Encode Sans" w:hAnsi="Encode Sans"/>
          <w:b/>
          <w:bCs/>
          <w:sz w:val="22"/>
          <w:szCs w:val="22"/>
          <w:lang w:val="en-US"/>
        </w:rPr>
        <w:t xml:space="preserve">Paul </w:t>
      </w:r>
      <w:proofErr w:type="spellStart"/>
      <w:r w:rsidRPr="00E51B39">
        <w:rPr>
          <w:rFonts w:ascii="Encode Sans" w:hAnsi="Encode Sans"/>
          <w:b/>
          <w:bCs/>
          <w:sz w:val="22"/>
          <w:szCs w:val="22"/>
          <w:lang w:val="en-US"/>
        </w:rPr>
        <w:t>Kopejtka</w:t>
      </w:r>
      <w:proofErr w:type="spellEnd"/>
      <w:r w:rsidRPr="00E51B39">
        <w:rPr>
          <w:rFonts w:ascii="Encode Sans" w:hAnsi="Encode Sans"/>
          <w:b/>
          <w:bCs/>
          <w:sz w:val="22"/>
          <w:szCs w:val="22"/>
          <w:lang w:val="en-US"/>
        </w:rPr>
        <w:t xml:space="preserve">  </w:t>
      </w:r>
    </w:p>
    <w:p w14:paraId="665B8FD7" w14:textId="51F02D43" w:rsidR="00D013CE" w:rsidRPr="00437B6E" w:rsidRDefault="007C3E83" w:rsidP="00D013CE">
      <w:pPr>
        <w:tabs>
          <w:tab w:val="left" w:pos="2592"/>
        </w:tabs>
        <w:spacing w:after="0"/>
        <w:rPr>
          <w:rFonts w:ascii="Encode Sans" w:eastAsia="Arial" w:hAnsi="Encode Sans" w:cs="Arial"/>
          <w:sz w:val="22"/>
          <w:szCs w:val="22"/>
          <w:lang w:val="en-US"/>
        </w:rPr>
      </w:pPr>
      <w:r w:rsidRPr="00437B6E">
        <w:rPr>
          <w:rFonts w:ascii="Encode Sans" w:hAnsi="Encode Sans"/>
          <w:sz w:val="22"/>
          <w:szCs w:val="22"/>
          <w:lang w:val="en-US"/>
        </w:rPr>
        <w:t>Managing Director et CEO</w:t>
      </w:r>
    </w:p>
    <w:p w14:paraId="61AA0D8F" w14:textId="77777777" w:rsidR="00D013CE" w:rsidRPr="00247449" w:rsidRDefault="00D013CE" w:rsidP="00D013CE">
      <w:pPr>
        <w:tabs>
          <w:tab w:val="left" w:pos="2592"/>
        </w:tabs>
        <w:spacing w:after="0"/>
        <w:rPr>
          <w:rFonts w:ascii="Encode Sans" w:eastAsia="Arial" w:hAnsi="Encode Sans" w:cs="Arial"/>
          <w:sz w:val="22"/>
          <w:szCs w:val="22"/>
          <w:lang w:val="it-IT"/>
        </w:rPr>
      </w:pPr>
      <w:r w:rsidRPr="00247449">
        <w:rPr>
          <w:rFonts w:ascii="Encode Sans" w:hAnsi="Encode Sans"/>
          <w:sz w:val="22"/>
          <w:szCs w:val="22"/>
          <w:lang w:val="it-IT"/>
        </w:rPr>
        <w:t xml:space="preserve">Perth, </w:t>
      </w:r>
      <w:proofErr w:type="spellStart"/>
      <w:r w:rsidRPr="00247449">
        <w:rPr>
          <w:rFonts w:ascii="Encode Sans" w:hAnsi="Encode Sans"/>
          <w:sz w:val="22"/>
          <w:szCs w:val="22"/>
          <w:lang w:val="it-IT"/>
        </w:rPr>
        <w:t>Australie</w:t>
      </w:r>
      <w:proofErr w:type="spellEnd"/>
      <w:r w:rsidRPr="00247449">
        <w:rPr>
          <w:rFonts w:ascii="Encode Sans" w:hAnsi="Encode Sans"/>
          <w:sz w:val="22"/>
          <w:szCs w:val="22"/>
          <w:lang w:val="it-IT"/>
        </w:rPr>
        <w:t xml:space="preserve"> occidentale  </w:t>
      </w:r>
    </w:p>
    <w:p w14:paraId="410D7402" w14:textId="77777777" w:rsidR="00D013CE" w:rsidRPr="00247449" w:rsidRDefault="00D013CE" w:rsidP="00D013CE">
      <w:pPr>
        <w:tabs>
          <w:tab w:val="left" w:pos="2592"/>
        </w:tabs>
        <w:spacing w:after="0"/>
        <w:rPr>
          <w:rFonts w:ascii="Encode Sans" w:eastAsia="Arial" w:hAnsi="Encode Sans" w:cs="Arial"/>
          <w:sz w:val="22"/>
          <w:szCs w:val="22"/>
          <w:lang w:val="it-IT"/>
        </w:rPr>
      </w:pPr>
      <w:r w:rsidRPr="00247449">
        <w:rPr>
          <w:rFonts w:ascii="Encode Sans" w:hAnsi="Encode Sans"/>
          <w:sz w:val="22"/>
          <w:szCs w:val="22"/>
          <w:lang w:val="it-IT"/>
        </w:rPr>
        <w:t xml:space="preserve">+61 8 9336 3388   </w:t>
      </w:r>
    </w:p>
    <w:p w14:paraId="5C1B94B6" w14:textId="16A13225" w:rsidR="00D013CE" w:rsidRPr="00247449" w:rsidRDefault="00D013CE" w:rsidP="00D013CE">
      <w:pPr>
        <w:tabs>
          <w:tab w:val="left" w:pos="2592"/>
        </w:tabs>
        <w:spacing w:after="0"/>
        <w:rPr>
          <w:rFonts w:ascii="Encode Sans" w:eastAsia="Arial" w:hAnsi="Encode Sans" w:cs="Arial"/>
          <w:sz w:val="22"/>
          <w:szCs w:val="22"/>
          <w:lang w:val="it-IT"/>
        </w:rPr>
      </w:pPr>
      <w:r w:rsidRPr="00247449">
        <w:rPr>
          <w:rFonts w:ascii="Encode Sans" w:hAnsi="Encode Sans"/>
          <w:sz w:val="22"/>
          <w:szCs w:val="22"/>
          <w:lang w:val="it-IT"/>
        </w:rPr>
        <w:t>info@gmeresources.com.au</w:t>
      </w:r>
    </w:p>
    <w:p w14:paraId="407C22E6" w14:textId="7E218C39" w:rsidR="00D013CE" w:rsidRPr="00247449" w:rsidRDefault="00D013CE" w:rsidP="00211BDA">
      <w:pPr>
        <w:tabs>
          <w:tab w:val="left" w:pos="2592"/>
        </w:tabs>
        <w:spacing w:after="0"/>
        <w:rPr>
          <w:rFonts w:ascii="Encode Sans" w:eastAsia="Arial" w:hAnsi="Encode Sans" w:cs="Arial"/>
          <w:b/>
          <w:bCs/>
          <w:sz w:val="22"/>
          <w:szCs w:val="22"/>
          <w:lang w:val="it-IT"/>
        </w:rPr>
      </w:pPr>
    </w:p>
    <w:p w14:paraId="5E28EE9E" w14:textId="77777777" w:rsidR="00D013CE" w:rsidRPr="00E51B39" w:rsidRDefault="00D013CE" w:rsidP="00D013CE">
      <w:pPr>
        <w:tabs>
          <w:tab w:val="left" w:pos="2592"/>
        </w:tabs>
        <w:spacing w:after="0"/>
        <w:rPr>
          <w:rFonts w:ascii="Encode Sans" w:eastAsia="Arial" w:hAnsi="Encode Sans" w:cs="Arial"/>
          <w:b/>
          <w:bCs/>
          <w:sz w:val="22"/>
          <w:szCs w:val="22"/>
          <w:lang w:val="en-US"/>
        </w:rPr>
      </w:pPr>
      <w:r w:rsidRPr="00E51B39">
        <w:rPr>
          <w:rFonts w:ascii="Encode Sans" w:hAnsi="Encode Sans"/>
          <w:b/>
          <w:bCs/>
          <w:sz w:val="22"/>
          <w:szCs w:val="22"/>
          <w:lang w:val="en-US"/>
        </w:rPr>
        <w:t xml:space="preserve">Michael Vaughan </w:t>
      </w:r>
    </w:p>
    <w:p w14:paraId="6356FBE3" w14:textId="77777777" w:rsidR="00D013CE" w:rsidRPr="00437B6E" w:rsidRDefault="00D013CE" w:rsidP="00D013CE">
      <w:pPr>
        <w:tabs>
          <w:tab w:val="left" w:pos="2592"/>
        </w:tabs>
        <w:spacing w:after="0"/>
        <w:rPr>
          <w:rFonts w:ascii="Encode Sans" w:eastAsia="Arial" w:hAnsi="Encode Sans" w:cs="Arial"/>
          <w:sz w:val="22"/>
          <w:szCs w:val="22"/>
          <w:lang w:val="en-US"/>
        </w:rPr>
      </w:pPr>
      <w:proofErr w:type="spellStart"/>
      <w:r w:rsidRPr="00437B6E">
        <w:rPr>
          <w:rFonts w:ascii="Encode Sans" w:hAnsi="Encode Sans"/>
          <w:sz w:val="22"/>
          <w:szCs w:val="22"/>
          <w:lang w:val="en-US"/>
        </w:rPr>
        <w:t>Fivemark</w:t>
      </w:r>
      <w:proofErr w:type="spellEnd"/>
      <w:r w:rsidRPr="00437B6E">
        <w:rPr>
          <w:rFonts w:ascii="Encode Sans" w:hAnsi="Encode Sans"/>
          <w:sz w:val="22"/>
          <w:szCs w:val="22"/>
          <w:lang w:val="en-US"/>
        </w:rPr>
        <w:t xml:space="preserve"> Partners </w:t>
      </w:r>
    </w:p>
    <w:p w14:paraId="1B0A212A" w14:textId="77777777" w:rsidR="00D013CE" w:rsidRPr="00044E26" w:rsidRDefault="00D013CE" w:rsidP="00D013CE">
      <w:pPr>
        <w:tabs>
          <w:tab w:val="left" w:pos="2592"/>
        </w:tabs>
        <w:spacing w:after="0"/>
        <w:rPr>
          <w:rFonts w:ascii="Encode Sans" w:eastAsia="Arial" w:hAnsi="Encode Sans" w:cs="Arial"/>
          <w:sz w:val="22"/>
          <w:szCs w:val="22"/>
        </w:rPr>
      </w:pPr>
      <w:r>
        <w:rPr>
          <w:rFonts w:ascii="Encode Sans" w:hAnsi="Encode Sans"/>
          <w:sz w:val="22"/>
          <w:szCs w:val="22"/>
        </w:rPr>
        <w:t xml:space="preserve">Perth, Australie occidentale </w:t>
      </w:r>
    </w:p>
    <w:p w14:paraId="6EDBA433" w14:textId="77777777" w:rsidR="00D013CE" w:rsidRPr="00044E26" w:rsidRDefault="00D013CE" w:rsidP="00D013CE">
      <w:pPr>
        <w:tabs>
          <w:tab w:val="left" w:pos="2592"/>
        </w:tabs>
        <w:spacing w:after="0"/>
        <w:rPr>
          <w:rFonts w:ascii="Encode Sans" w:eastAsia="Arial" w:hAnsi="Encode Sans" w:cs="Arial"/>
          <w:sz w:val="22"/>
          <w:szCs w:val="22"/>
        </w:rPr>
      </w:pPr>
      <w:r>
        <w:rPr>
          <w:rFonts w:ascii="Encode Sans" w:hAnsi="Encode Sans"/>
          <w:sz w:val="22"/>
          <w:szCs w:val="22"/>
        </w:rPr>
        <w:t xml:space="preserve">+61 422 602 720 </w:t>
      </w:r>
    </w:p>
    <w:p w14:paraId="680D63AF" w14:textId="3C283DE7" w:rsidR="00D013CE" w:rsidRPr="00044E26" w:rsidRDefault="00D013CE" w:rsidP="00D013CE">
      <w:pPr>
        <w:tabs>
          <w:tab w:val="left" w:pos="2592"/>
        </w:tabs>
        <w:spacing w:after="0"/>
        <w:rPr>
          <w:rFonts w:ascii="Encode Sans" w:eastAsia="Arial" w:hAnsi="Encode Sans" w:cs="Arial"/>
          <w:sz w:val="22"/>
          <w:szCs w:val="22"/>
        </w:rPr>
      </w:pPr>
      <w:r>
        <w:rPr>
          <w:rFonts w:ascii="Encode Sans" w:hAnsi="Encode Sans"/>
          <w:sz w:val="22"/>
          <w:szCs w:val="22"/>
        </w:rPr>
        <w:t>michael.vaughan@fivemark.com.au</w:t>
      </w:r>
    </w:p>
    <w:p w14:paraId="6C24A05C" w14:textId="2D6337E9" w:rsidR="00E4756F" w:rsidRDefault="00E4756F">
      <w:pPr>
        <w:rPr>
          <w:rFonts w:ascii="Arial" w:hAnsi="Arial" w:cs="Arial"/>
          <w:b/>
          <w:bCs/>
          <w:sz w:val="18"/>
          <w:szCs w:val="18"/>
        </w:rPr>
      </w:pPr>
      <w:r>
        <w:rPr>
          <w:rFonts w:ascii="Arial" w:hAnsi="Arial" w:cs="Arial"/>
          <w:b/>
          <w:bCs/>
          <w:sz w:val="18"/>
          <w:szCs w:val="18"/>
        </w:rPr>
        <w:br w:type="page"/>
      </w:r>
    </w:p>
    <w:p w14:paraId="5264B418" w14:textId="77777777" w:rsidR="00C202F5" w:rsidRDefault="00C202F5" w:rsidP="00914E09">
      <w:pPr>
        <w:rPr>
          <w:rFonts w:ascii="Arial" w:hAnsi="Arial" w:cs="Arial"/>
          <w:b/>
          <w:bCs/>
          <w:sz w:val="18"/>
          <w:szCs w:val="18"/>
        </w:rPr>
      </w:pPr>
    </w:p>
    <w:p w14:paraId="1486F7E1" w14:textId="4B1E8016" w:rsidR="00211BDA" w:rsidRDefault="00211BDA" w:rsidP="00914E09">
      <w:pPr>
        <w:rPr>
          <w:rFonts w:ascii="Arial" w:hAnsi="Arial" w:cs="Arial"/>
          <w:b/>
          <w:bCs/>
          <w:sz w:val="18"/>
          <w:szCs w:val="18"/>
        </w:rPr>
      </w:pPr>
      <w:r>
        <w:rPr>
          <w:rFonts w:ascii="Arial" w:hAnsi="Arial"/>
          <w:b/>
          <w:bCs/>
          <w:sz w:val="18"/>
          <w:szCs w:val="18"/>
        </w:rPr>
        <w:t>DÉCLARATIONS PROSPECTIVES</w:t>
      </w:r>
    </w:p>
    <w:p w14:paraId="18E03D4B" w14:textId="77777777" w:rsidR="00211BDA" w:rsidRDefault="00211BDA" w:rsidP="00211BDA">
      <w:pPr>
        <w:spacing w:before="240"/>
        <w:rPr>
          <w:rFonts w:ascii="Arial" w:eastAsia="Encode Sans" w:hAnsi="Arial" w:cs="Arial"/>
          <w:i/>
          <w:sz w:val="18"/>
          <w:szCs w:val="18"/>
        </w:rPr>
      </w:pPr>
      <w:r>
        <w:rPr>
          <w:rFonts w:ascii="Arial" w:hAnsi="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szCs w:val="18"/>
        </w:rPr>
        <w:t>suite à</w:t>
      </w:r>
      <w:proofErr w:type="gramEnd"/>
      <w:r>
        <w:rPr>
          <w:rFonts w:ascii="Arial" w:hAnsi="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sont pas des garanties de performances futures. Elles reposent au contraire sur l’état actuel des connaissances de </w:t>
      </w:r>
      <w:proofErr w:type="spellStart"/>
      <w:r>
        <w:rPr>
          <w:rFonts w:ascii="Arial" w:hAnsi="Arial"/>
          <w:i/>
          <w:sz w:val="18"/>
          <w:szCs w:val="18"/>
        </w:rPr>
        <w:t>Stellantis</w:t>
      </w:r>
      <w:proofErr w:type="spellEnd"/>
      <w:r>
        <w:rPr>
          <w:rFonts w:ascii="Arial" w:hAnsi="Arial"/>
          <w:i/>
          <w:sz w:val="18"/>
          <w:szCs w:val="18"/>
        </w:rPr>
        <w:t xml:space="preserve"> ainsi que sur ses projections et attentes futures vis-à-vis d’événements à venir, et </w:t>
      </w:r>
      <w:proofErr w:type="gramStart"/>
      <w:r>
        <w:rPr>
          <w:rFonts w:ascii="Arial" w:hAnsi="Arial"/>
          <w:i/>
          <w:sz w:val="18"/>
          <w:szCs w:val="18"/>
        </w:rPr>
        <w:t>de par</w:t>
      </w:r>
      <w:proofErr w:type="gramEnd"/>
      <w:r>
        <w:rPr>
          <w:rFonts w:ascii="Arial" w:hAnsi="Arial"/>
          <w:i/>
          <w:sz w:val="18"/>
          <w:szCs w:val="18"/>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6D9C35D1" w14:textId="77777777" w:rsidR="00211BDA" w:rsidRDefault="00211BDA" w:rsidP="00211BDA">
      <w:pPr>
        <w:spacing w:before="240"/>
        <w:rPr>
          <w:rFonts w:ascii="Arial" w:eastAsia="Encode Sans" w:hAnsi="Arial" w:cs="Arial"/>
          <w:i/>
          <w:sz w:val="18"/>
          <w:szCs w:val="18"/>
        </w:rPr>
      </w:pPr>
      <w:r>
        <w:rPr>
          <w:rFonts w:ascii="Arial" w:hAnsi="Arial"/>
          <w:i/>
          <w:sz w:val="18"/>
          <w:szCs w:val="18"/>
        </w:rPr>
        <w:t xml:space="preserve">Les résultats réels peuvent différer sensiblement de ceux exprimés dans les déclarations prospectives en raison de divers facteurs, notamment : l’impact de la pandémie de COVID-19, la capacité de </w:t>
      </w:r>
      <w:proofErr w:type="spellStart"/>
      <w:r>
        <w:rPr>
          <w:rFonts w:ascii="Arial" w:hAnsi="Arial"/>
          <w:i/>
          <w:sz w:val="18"/>
          <w:szCs w:val="18"/>
        </w:rPr>
        <w:t>Stellantis</w:t>
      </w:r>
      <w:proofErr w:type="spellEnd"/>
      <w:r>
        <w:rPr>
          <w:rFonts w:ascii="Arial" w:hAnsi="Arial"/>
          <w:i/>
          <w:sz w:val="18"/>
          <w:szCs w:val="18"/>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Pr>
          <w:rFonts w:ascii="Arial" w:hAnsi="Arial"/>
          <w:i/>
          <w:sz w:val="18"/>
          <w:szCs w:val="18"/>
        </w:rPr>
        <w:t>Stellantis</w:t>
      </w:r>
      <w:proofErr w:type="spellEnd"/>
      <w:r>
        <w:rPr>
          <w:rFonts w:ascii="Arial" w:hAnsi="Arial"/>
          <w:i/>
          <w:sz w:val="18"/>
          <w:szCs w:val="18"/>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Pr>
          <w:rFonts w:ascii="Arial" w:hAnsi="Arial"/>
          <w:i/>
          <w:sz w:val="18"/>
          <w:szCs w:val="18"/>
        </w:rPr>
        <w:t>Stellantis</w:t>
      </w:r>
      <w:proofErr w:type="spellEnd"/>
      <w:r>
        <w:rPr>
          <w:rFonts w:ascii="Arial" w:hAnsi="Arial"/>
          <w:i/>
          <w:sz w:val="18"/>
          <w:szCs w:val="18"/>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Pr>
          <w:rFonts w:ascii="Arial" w:hAnsi="Arial"/>
          <w:i/>
          <w:sz w:val="18"/>
          <w:szCs w:val="18"/>
        </w:rPr>
        <w:t>Stellantis</w:t>
      </w:r>
      <w:proofErr w:type="spellEnd"/>
      <w:r>
        <w:rPr>
          <w:rFonts w:ascii="Arial" w:hAnsi="Arial"/>
          <w:i/>
          <w:sz w:val="18"/>
          <w:szCs w:val="18"/>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Pr>
          <w:rFonts w:ascii="Arial" w:hAnsi="Arial"/>
          <w:i/>
          <w:sz w:val="18"/>
          <w:szCs w:val="18"/>
        </w:rPr>
        <w:t>Stellantis</w:t>
      </w:r>
      <w:proofErr w:type="spellEnd"/>
      <w:r>
        <w:rPr>
          <w:rFonts w:ascii="Arial" w:hAnsi="Arial"/>
          <w:i/>
          <w:sz w:val="18"/>
          <w:szCs w:val="18"/>
        </w:rPr>
        <w:t xml:space="preserve"> ; la capacité de </w:t>
      </w:r>
      <w:proofErr w:type="spellStart"/>
      <w:r>
        <w:rPr>
          <w:rFonts w:ascii="Arial" w:hAnsi="Arial"/>
          <w:i/>
          <w:sz w:val="18"/>
          <w:szCs w:val="18"/>
        </w:rPr>
        <w:t>Stellantis</w:t>
      </w:r>
      <w:proofErr w:type="spellEnd"/>
      <w:r>
        <w:rPr>
          <w:rFonts w:ascii="Arial" w:hAnsi="Arial"/>
          <w:i/>
          <w:sz w:val="18"/>
          <w:szCs w:val="18"/>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w:t>
      </w:r>
      <w:proofErr w:type="spellStart"/>
      <w:r>
        <w:rPr>
          <w:rFonts w:ascii="Arial" w:hAnsi="Arial"/>
          <w:i/>
          <w:sz w:val="18"/>
          <w:szCs w:val="18"/>
        </w:rPr>
        <w:t>Stellantis</w:t>
      </w:r>
      <w:proofErr w:type="spellEnd"/>
      <w:r>
        <w:rPr>
          <w:rFonts w:ascii="Arial" w:hAnsi="Arial"/>
          <w:i/>
          <w:sz w:val="18"/>
          <w:szCs w:val="18"/>
        </w:rPr>
        <w:t>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5D67444A" w14:textId="206B0CB1" w:rsidR="00D90200" w:rsidRDefault="00211BDA" w:rsidP="00044E26">
      <w:pPr>
        <w:spacing w:before="240"/>
        <w:rPr>
          <w:b/>
          <w:i/>
          <w:sz w:val="16"/>
          <w:szCs w:val="16"/>
        </w:rPr>
      </w:pPr>
      <w:r>
        <w:rPr>
          <w:rFonts w:ascii="Arial" w:hAnsi="Arial"/>
          <w:i/>
          <w:sz w:val="18"/>
          <w:szCs w:val="18"/>
        </w:rPr>
        <w:t xml:space="preserve">Toutes les déclarations prospectives contenues dans cette communication sont valables à la date des présentes, et </w:t>
      </w:r>
      <w:proofErr w:type="spellStart"/>
      <w:r>
        <w:rPr>
          <w:rFonts w:ascii="Arial" w:hAnsi="Arial"/>
          <w:i/>
          <w:sz w:val="18"/>
          <w:szCs w:val="18"/>
        </w:rPr>
        <w:t>Stellantis</w:t>
      </w:r>
      <w:proofErr w:type="spellEnd"/>
      <w:r>
        <w:rPr>
          <w:rFonts w:ascii="Arial" w:hAnsi="Arial"/>
          <w:i/>
          <w:sz w:val="18"/>
          <w:szCs w:val="18"/>
        </w:rPr>
        <w:t xml:space="preserve"> ne prend aucun engagement de mettre à jour ou de réviser publiquement lesdites déclarations prospectives. De plus amples informations concernant </w:t>
      </w:r>
      <w:proofErr w:type="spellStart"/>
      <w:r>
        <w:rPr>
          <w:rFonts w:ascii="Arial" w:hAnsi="Arial"/>
          <w:i/>
          <w:sz w:val="18"/>
          <w:szCs w:val="18"/>
        </w:rPr>
        <w:t>Stellantis</w:t>
      </w:r>
      <w:proofErr w:type="spellEnd"/>
      <w:r>
        <w:rPr>
          <w:rFonts w:ascii="Arial" w:hAnsi="Arial"/>
          <w:i/>
          <w:sz w:val="18"/>
          <w:szCs w:val="18"/>
        </w:rPr>
        <w:t xml:space="preserve"> et ses activités, y compris les facteurs susceptibles d'impacter de manière significative les résultats financiers de </w:t>
      </w:r>
      <w:proofErr w:type="spellStart"/>
      <w:r>
        <w:rPr>
          <w:rFonts w:ascii="Arial" w:hAnsi="Arial"/>
          <w:i/>
          <w:sz w:val="18"/>
          <w:szCs w:val="18"/>
        </w:rPr>
        <w:t>Stellantis</w:t>
      </w:r>
      <w:proofErr w:type="spellEnd"/>
      <w:r>
        <w:rPr>
          <w:rFonts w:ascii="Arial" w:hAnsi="Arial"/>
          <w:i/>
          <w:sz w:val="18"/>
          <w:szCs w:val="18"/>
        </w:rPr>
        <w:t xml:space="preserve">, sont incluses dans les rapports et dossiers de </w:t>
      </w:r>
      <w:proofErr w:type="spellStart"/>
      <w:r>
        <w:rPr>
          <w:rFonts w:ascii="Arial" w:hAnsi="Arial"/>
          <w:i/>
          <w:sz w:val="18"/>
          <w:szCs w:val="18"/>
        </w:rPr>
        <w:t>Stellantis</w:t>
      </w:r>
      <w:proofErr w:type="spellEnd"/>
      <w:r>
        <w:rPr>
          <w:rFonts w:ascii="Arial" w:hAnsi="Arial"/>
          <w:i/>
          <w:sz w:val="18"/>
          <w:szCs w:val="18"/>
        </w:rPr>
        <w:t xml:space="preserve"> déposés auprès de l’U.S. Securities and Exchange Commission et de l'AFM.</w:t>
      </w:r>
    </w:p>
    <w:sectPr w:rsidR="00D90200" w:rsidSect="00C202F5">
      <w:footerReference w:type="default" r:id="rId19"/>
      <w:headerReference w:type="first" r:id="rId20"/>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B818" w14:textId="77777777" w:rsidR="00811654" w:rsidRDefault="00811654">
      <w:pPr>
        <w:spacing w:after="0"/>
      </w:pPr>
      <w:r>
        <w:separator/>
      </w:r>
    </w:p>
  </w:endnote>
  <w:endnote w:type="continuationSeparator" w:id="0">
    <w:p w14:paraId="04C45FD0" w14:textId="77777777" w:rsidR="00811654" w:rsidRDefault="008116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Expanded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panose1 w:val="020B0604020202020204"/>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EB64" w14:textId="77777777" w:rsidR="00811654" w:rsidRDefault="00811654">
      <w:pPr>
        <w:spacing w:after="0"/>
      </w:pPr>
      <w:r>
        <w:separator/>
      </w:r>
    </w:p>
  </w:footnote>
  <w:footnote w:type="continuationSeparator" w:id="0">
    <w:p w14:paraId="038C7087" w14:textId="77777777" w:rsidR="00811654" w:rsidRDefault="008116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175CD916" w:rsidR="00D90200" w:rsidRPr="004E387D" w:rsidRDefault="00437B6E" w:rsidP="004E387D">
    <w:pPr>
      <w:pStyle w:val="Header"/>
    </w:pPr>
    <w:r>
      <w:rPr>
        <w:noProof/>
        <w:color w:val="0D0D0D"/>
      </w:rPr>
      <w:drawing>
        <wp:inline distT="0" distB="0" distL="0" distR="0" wp14:anchorId="6000CEEC" wp14:editId="1A0F1AD7">
          <wp:extent cx="5158665" cy="638175"/>
          <wp:effectExtent l="0" t="0" r="444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43694" b="43964"/>
                  <a:stretch/>
                </pic:blipFill>
                <pic:spPr bwMode="auto">
                  <a:xfrm>
                    <a:off x="0" y="0"/>
                    <a:ext cx="5250127" cy="6494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446695"/>
    <w:multiLevelType w:val="hybridMultilevel"/>
    <w:tmpl w:val="4D94A2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72313284">
    <w:abstractNumId w:val="0"/>
  </w:num>
  <w:num w:numId="2" w16cid:durableId="1763256838">
    <w:abstractNumId w:val="1"/>
  </w:num>
  <w:num w:numId="3" w16cid:durableId="754588839">
    <w:abstractNumId w:val="3"/>
  </w:num>
  <w:num w:numId="4" w16cid:durableId="106071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403C6"/>
    <w:rsid w:val="00044E26"/>
    <w:rsid w:val="0006441F"/>
    <w:rsid w:val="000B0968"/>
    <w:rsid w:val="000B2E42"/>
    <w:rsid w:val="000C5A52"/>
    <w:rsid w:val="000D0AC3"/>
    <w:rsid w:val="00100E33"/>
    <w:rsid w:val="0011344A"/>
    <w:rsid w:val="00115CA3"/>
    <w:rsid w:val="00123307"/>
    <w:rsid w:val="00134F8D"/>
    <w:rsid w:val="0016045E"/>
    <w:rsid w:val="00162B39"/>
    <w:rsid w:val="00172B2C"/>
    <w:rsid w:val="0018374B"/>
    <w:rsid w:val="0019432C"/>
    <w:rsid w:val="00195133"/>
    <w:rsid w:val="001A14C2"/>
    <w:rsid w:val="001A3B61"/>
    <w:rsid w:val="001B647A"/>
    <w:rsid w:val="001B7F90"/>
    <w:rsid w:val="001C1D40"/>
    <w:rsid w:val="001D10B3"/>
    <w:rsid w:val="001D2376"/>
    <w:rsid w:val="001E145E"/>
    <w:rsid w:val="00202659"/>
    <w:rsid w:val="00206526"/>
    <w:rsid w:val="002074AC"/>
    <w:rsid w:val="00211BDA"/>
    <w:rsid w:val="00214934"/>
    <w:rsid w:val="002232A1"/>
    <w:rsid w:val="00247449"/>
    <w:rsid w:val="00247709"/>
    <w:rsid w:val="0025678C"/>
    <w:rsid w:val="00263AD6"/>
    <w:rsid w:val="00287CED"/>
    <w:rsid w:val="002B72BF"/>
    <w:rsid w:val="002C77BE"/>
    <w:rsid w:val="002D1821"/>
    <w:rsid w:val="002D43AD"/>
    <w:rsid w:val="002D67E6"/>
    <w:rsid w:val="002D6E8E"/>
    <w:rsid w:val="003011A4"/>
    <w:rsid w:val="003062BC"/>
    <w:rsid w:val="00306BC9"/>
    <w:rsid w:val="00316B35"/>
    <w:rsid w:val="00363B8C"/>
    <w:rsid w:val="00374F28"/>
    <w:rsid w:val="0037579C"/>
    <w:rsid w:val="003A179F"/>
    <w:rsid w:val="003C0EBE"/>
    <w:rsid w:val="003D21DF"/>
    <w:rsid w:val="003D756D"/>
    <w:rsid w:val="00401F74"/>
    <w:rsid w:val="00437B6E"/>
    <w:rsid w:val="004502A2"/>
    <w:rsid w:val="00492DDE"/>
    <w:rsid w:val="004C37B7"/>
    <w:rsid w:val="004C48ED"/>
    <w:rsid w:val="004E29EF"/>
    <w:rsid w:val="004E387D"/>
    <w:rsid w:val="004E3DDE"/>
    <w:rsid w:val="004F0A2C"/>
    <w:rsid w:val="004F2150"/>
    <w:rsid w:val="004F3BE9"/>
    <w:rsid w:val="004F7329"/>
    <w:rsid w:val="005062F7"/>
    <w:rsid w:val="005073F1"/>
    <w:rsid w:val="00512922"/>
    <w:rsid w:val="00516057"/>
    <w:rsid w:val="00525726"/>
    <w:rsid w:val="00547AF9"/>
    <w:rsid w:val="0055767E"/>
    <w:rsid w:val="00572D4A"/>
    <w:rsid w:val="0058367F"/>
    <w:rsid w:val="005B099B"/>
    <w:rsid w:val="005B0E86"/>
    <w:rsid w:val="005E4EB5"/>
    <w:rsid w:val="00603F18"/>
    <w:rsid w:val="0061766E"/>
    <w:rsid w:val="00625C11"/>
    <w:rsid w:val="006262D2"/>
    <w:rsid w:val="00631BCB"/>
    <w:rsid w:val="006616BE"/>
    <w:rsid w:val="00677729"/>
    <w:rsid w:val="00680D18"/>
    <w:rsid w:val="006863D0"/>
    <w:rsid w:val="006B0CEC"/>
    <w:rsid w:val="006B2EB2"/>
    <w:rsid w:val="00706414"/>
    <w:rsid w:val="0071156E"/>
    <w:rsid w:val="0071381F"/>
    <w:rsid w:val="007376E7"/>
    <w:rsid w:val="0076578D"/>
    <w:rsid w:val="00786615"/>
    <w:rsid w:val="007A17A2"/>
    <w:rsid w:val="007B698C"/>
    <w:rsid w:val="007C3E83"/>
    <w:rsid w:val="007C5570"/>
    <w:rsid w:val="007F0624"/>
    <w:rsid w:val="007F30E2"/>
    <w:rsid w:val="008018C5"/>
    <w:rsid w:val="00811654"/>
    <w:rsid w:val="008170F0"/>
    <w:rsid w:val="00837A76"/>
    <w:rsid w:val="008535C7"/>
    <w:rsid w:val="008A0E8A"/>
    <w:rsid w:val="008B0A0F"/>
    <w:rsid w:val="008D26D0"/>
    <w:rsid w:val="00907495"/>
    <w:rsid w:val="00914E09"/>
    <w:rsid w:val="00925DB9"/>
    <w:rsid w:val="00945F1A"/>
    <w:rsid w:val="00980D9E"/>
    <w:rsid w:val="00990BE3"/>
    <w:rsid w:val="00991B50"/>
    <w:rsid w:val="00996297"/>
    <w:rsid w:val="0099793C"/>
    <w:rsid w:val="009A2719"/>
    <w:rsid w:val="009A5024"/>
    <w:rsid w:val="009B2260"/>
    <w:rsid w:val="009B3485"/>
    <w:rsid w:val="009C39C6"/>
    <w:rsid w:val="009D083B"/>
    <w:rsid w:val="009D5DC6"/>
    <w:rsid w:val="009D782E"/>
    <w:rsid w:val="009D7CB7"/>
    <w:rsid w:val="00A10846"/>
    <w:rsid w:val="00A14036"/>
    <w:rsid w:val="00A237F3"/>
    <w:rsid w:val="00A56A47"/>
    <w:rsid w:val="00A61578"/>
    <w:rsid w:val="00A70AB9"/>
    <w:rsid w:val="00A816C8"/>
    <w:rsid w:val="00A86899"/>
    <w:rsid w:val="00A906F0"/>
    <w:rsid w:val="00A9686E"/>
    <w:rsid w:val="00A976CF"/>
    <w:rsid w:val="00AB0FFA"/>
    <w:rsid w:val="00AD7B93"/>
    <w:rsid w:val="00AF5DF3"/>
    <w:rsid w:val="00B27345"/>
    <w:rsid w:val="00B31E73"/>
    <w:rsid w:val="00B46A84"/>
    <w:rsid w:val="00B54574"/>
    <w:rsid w:val="00B57822"/>
    <w:rsid w:val="00B74F29"/>
    <w:rsid w:val="00B901C8"/>
    <w:rsid w:val="00BC4685"/>
    <w:rsid w:val="00BD74C3"/>
    <w:rsid w:val="00BE126A"/>
    <w:rsid w:val="00BE1D59"/>
    <w:rsid w:val="00BE75A5"/>
    <w:rsid w:val="00C00E9B"/>
    <w:rsid w:val="00C202F5"/>
    <w:rsid w:val="00C334EF"/>
    <w:rsid w:val="00C35BE9"/>
    <w:rsid w:val="00C42C0B"/>
    <w:rsid w:val="00C520FA"/>
    <w:rsid w:val="00C566C4"/>
    <w:rsid w:val="00C61685"/>
    <w:rsid w:val="00C818B8"/>
    <w:rsid w:val="00CA3AFC"/>
    <w:rsid w:val="00CA420F"/>
    <w:rsid w:val="00CB19A5"/>
    <w:rsid w:val="00CB2AB8"/>
    <w:rsid w:val="00CC15FE"/>
    <w:rsid w:val="00CC5C47"/>
    <w:rsid w:val="00CD319D"/>
    <w:rsid w:val="00D013CE"/>
    <w:rsid w:val="00D019D7"/>
    <w:rsid w:val="00D3455C"/>
    <w:rsid w:val="00D37A5A"/>
    <w:rsid w:val="00D40E54"/>
    <w:rsid w:val="00D878B6"/>
    <w:rsid w:val="00D90200"/>
    <w:rsid w:val="00DA44D2"/>
    <w:rsid w:val="00DB7F49"/>
    <w:rsid w:val="00DF0988"/>
    <w:rsid w:val="00DF61C4"/>
    <w:rsid w:val="00E11EDF"/>
    <w:rsid w:val="00E13473"/>
    <w:rsid w:val="00E15211"/>
    <w:rsid w:val="00E16A57"/>
    <w:rsid w:val="00E36F4A"/>
    <w:rsid w:val="00E4756F"/>
    <w:rsid w:val="00E51B39"/>
    <w:rsid w:val="00E653B0"/>
    <w:rsid w:val="00E669FB"/>
    <w:rsid w:val="00E759EE"/>
    <w:rsid w:val="00E76235"/>
    <w:rsid w:val="00E877EC"/>
    <w:rsid w:val="00E97FB7"/>
    <w:rsid w:val="00EB585F"/>
    <w:rsid w:val="00EC46E6"/>
    <w:rsid w:val="00EC4F3A"/>
    <w:rsid w:val="00EE3906"/>
    <w:rsid w:val="00EF0351"/>
    <w:rsid w:val="00F03556"/>
    <w:rsid w:val="00F1190D"/>
    <w:rsid w:val="00F455C0"/>
    <w:rsid w:val="00F5359D"/>
    <w:rsid w:val="00F55FA4"/>
    <w:rsid w:val="00F62C02"/>
    <w:rsid w:val="00F72EB4"/>
    <w:rsid w:val="00F75BDD"/>
    <w:rsid w:val="00F76566"/>
    <w:rsid w:val="00F76B60"/>
    <w:rsid w:val="00F76C4A"/>
    <w:rsid w:val="00F77D35"/>
    <w:rsid w:val="00F9493A"/>
    <w:rsid w:val="00FB58AF"/>
    <w:rsid w:val="00FE2429"/>
    <w:rsid w:val="00FF2E76"/>
    <w:rsid w:val="00FF6F01"/>
    <w:rsid w:val="41681A44"/>
    <w:rsid w:val="58CE19DB"/>
    <w:rsid w:val="5C3CA6D6"/>
    <w:rsid w:val="7E92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 w:type="character" w:customStyle="1" w:styleId="ng-star-inserted">
    <w:name w:val="ng-star-inserted"/>
    <w:basedOn w:val="DefaultParagraphFont"/>
    <w:rsid w:val="00E51B39"/>
  </w:style>
  <w:style w:type="character" w:styleId="UnresolvedMention">
    <w:name w:val="Unresolved Mention"/>
    <w:basedOn w:val="DefaultParagraphFont"/>
    <w:uiPriority w:val="99"/>
    <w:semiHidden/>
    <w:unhideWhenUsed/>
    <w:rsid w:val="00E4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finance/evenements/strategic-plan" TargetMode="External"/><Relationship Id="rId18" Type="http://schemas.openxmlformats.org/officeDocument/2006/relationships/hyperlink" Target="http://www.stellanti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meresources.com.au/" TargetMode="External"/><Relationship Id="rId17" Type="http://schemas.openxmlformats.org/officeDocument/2006/relationships/hyperlink" Target="http://www.gmeresources.com.au" TargetMode="External"/><Relationship Id="rId2" Type="http://schemas.openxmlformats.org/officeDocument/2006/relationships/customXml" Target="../customXml/item2.xml"/><Relationship Id="rId16" Type="http://schemas.openxmlformats.org/officeDocument/2006/relationships/hyperlink" Target="https://www.stellantis.com/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hyperlink" Target="https://www.stellantis.com/fr/actualite/communiques-de-presse/2022/juin/stellantis-signe-un-accord-avec-controlled-thermal-resources-sur-un-approvisionnement-en-lithium-a-faibles-emissions-pour-la-production-de-ses-vehicules-electriques-en-amerique-du-nor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actualite/communiques-de-presse/2022/juin/stellantis-etend-son-partenariat-avec-vulcan-energy-et-devient-actionnaire-de-cette-societe-de-production-de-lithium-decarb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F0404-43C9-4599-9D27-01858C8D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1734</Words>
  <Characters>9886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FCA US</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Johnston</cp:lastModifiedBy>
  <cp:revision>6</cp:revision>
  <dcterms:created xsi:type="dcterms:W3CDTF">2022-10-09T18:04:00Z</dcterms:created>
  <dcterms:modified xsi:type="dcterms:W3CDTF">2022-10-10T04:24:00Z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