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CFE4" w14:textId="77777777" w:rsidR="0058020B" w:rsidRPr="00C167C2" w:rsidRDefault="0058020B">
      <w:pPr>
        <w:pBdr>
          <w:top w:val="nil"/>
          <w:left w:val="nil"/>
          <w:bottom w:val="nil"/>
          <w:right w:val="nil"/>
          <w:between w:val="nil"/>
        </w:pBdr>
        <w:spacing w:after="480"/>
        <w:jc w:val="center"/>
        <w:rPr>
          <w:rFonts w:ascii="Arial" w:eastAsia="Arial" w:hAnsi="Arial" w:cs="Arial"/>
          <w:b/>
          <w:color w:val="000000"/>
          <w:sz w:val="20"/>
          <w:szCs w:val="20"/>
        </w:rPr>
      </w:pPr>
    </w:p>
    <w:p w14:paraId="5EAB1B0B" w14:textId="31EC9256" w:rsidR="00D90200" w:rsidRPr="00E100EF" w:rsidRDefault="00DA44D2">
      <w:pPr>
        <w:pBdr>
          <w:top w:val="nil"/>
          <w:left w:val="nil"/>
          <w:bottom w:val="nil"/>
          <w:right w:val="nil"/>
          <w:between w:val="nil"/>
        </w:pBdr>
        <w:spacing w:after="480"/>
        <w:jc w:val="center"/>
        <w:rPr>
          <w:rFonts w:ascii="Arial" w:hAnsi="Arial"/>
          <w:b/>
          <w:color w:val="000000"/>
          <w:sz w:val="28"/>
          <w:szCs w:val="28"/>
        </w:rPr>
      </w:pPr>
      <w:r w:rsidRPr="00E100EF">
        <w:rPr>
          <w:rFonts w:ascii="Arial" w:hAnsi="Arial"/>
          <w:b/>
          <w:color w:val="000000"/>
          <w:sz w:val="28"/>
          <w:szCs w:val="28"/>
        </w:rPr>
        <w:t xml:space="preserve">Stellantis signe un accord </w:t>
      </w:r>
      <w:r w:rsidR="006F2551" w:rsidRPr="00E100EF">
        <w:rPr>
          <w:rFonts w:ascii="Arial" w:hAnsi="Arial"/>
          <w:b/>
          <w:color w:val="000000"/>
          <w:sz w:val="28"/>
          <w:szCs w:val="28"/>
        </w:rPr>
        <w:t xml:space="preserve">et </w:t>
      </w:r>
      <w:r w:rsidR="006F2551" w:rsidRPr="002A00DE">
        <w:rPr>
          <w:rFonts w:ascii="Arial" w:hAnsi="Arial"/>
          <w:b/>
          <w:color w:val="000000"/>
          <w:sz w:val="28"/>
          <w:szCs w:val="28"/>
        </w:rPr>
        <w:t>investit</w:t>
      </w:r>
      <w:r w:rsidR="006F2551" w:rsidRPr="00E100EF">
        <w:rPr>
          <w:rFonts w:ascii="Arial" w:hAnsi="Arial"/>
          <w:b/>
          <w:color w:val="000000"/>
          <w:sz w:val="28"/>
          <w:szCs w:val="28"/>
        </w:rPr>
        <w:t xml:space="preserve"> dans Alliance Nicke</w:t>
      </w:r>
      <w:r w:rsidR="00991661" w:rsidRPr="00E100EF">
        <w:rPr>
          <w:rFonts w:ascii="Arial" w:hAnsi="Arial"/>
          <w:b/>
          <w:color w:val="000000"/>
          <w:sz w:val="28"/>
          <w:szCs w:val="28"/>
        </w:rPr>
        <w:t>l</w:t>
      </w:r>
      <w:r w:rsidR="006F2551" w:rsidRPr="00E100EF">
        <w:rPr>
          <w:rFonts w:ascii="Arial" w:hAnsi="Arial"/>
          <w:b/>
          <w:color w:val="000000"/>
          <w:sz w:val="28"/>
          <w:szCs w:val="28"/>
        </w:rPr>
        <w:t xml:space="preserve"> pour l</w:t>
      </w:r>
      <w:r w:rsidRPr="00E100EF">
        <w:rPr>
          <w:rFonts w:ascii="Arial" w:hAnsi="Arial"/>
          <w:b/>
          <w:color w:val="000000"/>
          <w:sz w:val="28"/>
          <w:szCs w:val="28"/>
        </w:rPr>
        <w:t xml:space="preserve">’approvisionnement en sulfate de nickel et </w:t>
      </w:r>
      <w:r w:rsidR="00212BB4" w:rsidRPr="00E100EF">
        <w:rPr>
          <w:rFonts w:ascii="Arial" w:hAnsi="Arial"/>
          <w:b/>
          <w:color w:val="000000"/>
          <w:sz w:val="28"/>
          <w:szCs w:val="28"/>
        </w:rPr>
        <w:t xml:space="preserve">de </w:t>
      </w:r>
      <w:r w:rsidRPr="00E100EF">
        <w:rPr>
          <w:rFonts w:ascii="Arial" w:hAnsi="Arial"/>
          <w:b/>
          <w:color w:val="000000"/>
          <w:sz w:val="28"/>
          <w:szCs w:val="28"/>
        </w:rPr>
        <w:t xml:space="preserve">cobalt de </w:t>
      </w:r>
      <w:r w:rsidR="00991661" w:rsidRPr="00C167C2">
        <w:rPr>
          <w:rFonts w:ascii="Arial" w:hAnsi="Arial"/>
          <w:b/>
          <w:color w:val="000000"/>
          <w:sz w:val="28"/>
          <w:szCs w:val="28"/>
        </w:rPr>
        <w:t>‘</w:t>
      </w:r>
      <w:r w:rsidRPr="00E100EF">
        <w:rPr>
          <w:rFonts w:ascii="Arial" w:hAnsi="Arial"/>
          <w:b/>
          <w:color w:val="000000"/>
          <w:sz w:val="28"/>
          <w:szCs w:val="28"/>
        </w:rPr>
        <w:t>qualité batterie</w:t>
      </w:r>
      <w:r w:rsidR="00991661" w:rsidRPr="00E100EF">
        <w:rPr>
          <w:rFonts w:ascii="Arial" w:hAnsi="Arial"/>
          <w:b/>
          <w:color w:val="000000"/>
          <w:sz w:val="28"/>
          <w:szCs w:val="28"/>
        </w:rPr>
        <w:t>’</w:t>
      </w:r>
    </w:p>
    <w:p w14:paraId="65395E32" w14:textId="0D174D18" w:rsidR="00594BD8" w:rsidRPr="0058020B" w:rsidRDefault="00212BB4" w:rsidP="00212BB4">
      <w:pPr>
        <w:pStyle w:val="ListParagraph"/>
        <w:numPr>
          <w:ilvl w:val="0"/>
          <w:numId w:val="1"/>
        </w:numPr>
        <w:rPr>
          <w:rFonts w:ascii="Arial" w:eastAsia="Arial" w:hAnsi="Arial" w:cs="Arial"/>
          <w:sz w:val="22"/>
          <w:szCs w:val="22"/>
        </w:rPr>
      </w:pPr>
      <w:r w:rsidRPr="00E100EF">
        <w:rPr>
          <w:rFonts w:ascii="Arial" w:hAnsi="Arial"/>
          <w:sz w:val="22"/>
          <w:szCs w:val="22"/>
        </w:rPr>
        <w:t>L’</w:t>
      </w:r>
      <w:r w:rsidR="00594BD8" w:rsidRPr="00E100EF">
        <w:rPr>
          <w:rFonts w:ascii="Arial" w:hAnsi="Arial"/>
          <w:sz w:val="22"/>
          <w:szCs w:val="22"/>
        </w:rPr>
        <w:t xml:space="preserve">accord d’approvisionnement en sulfate de nickel et cobalt de </w:t>
      </w:r>
      <w:r w:rsidR="00991661" w:rsidRPr="00C167C2">
        <w:rPr>
          <w:rFonts w:ascii="Arial" w:hAnsi="Arial"/>
          <w:sz w:val="22"/>
          <w:szCs w:val="22"/>
        </w:rPr>
        <w:t>‘</w:t>
      </w:r>
      <w:r w:rsidR="00594BD8" w:rsidRPr="00E100EF">
        <w:rPr>
          <w:rFonts w:ascii="Arial" w:hAnsi="Arial"/>
          <w:sz w:val="22"/>
          <w:szCs w:val="22"/>
        </w:rPr>
        <w:t>qualité batterie</w:t>
      </w:r>
      <w:r w:rsidR="00991661" w:rsidRPr="00E100EF">
        <w:rPr>
          <w:rFonts w:ascii="Arial" w:hAnsi="Arial"/>
          <w:sz w:val="22"/>
          <w:szCs w:val="22"/>
        </w:rPr>
        <w:t>’</w:t>
      </w:r>
      <w:r w:rsidR="00594BD8">
        <w:rPr>
          <w:rFonts w:ascii="Arial" w:hAnsi="Arial"/>
          <w:sz w:val="22"/>
          <w:szCs w:val="22"/>
        </w:rPr>
        <w:t xml:space="preserve"> </w:t>
      </w:r>
      <w:r w:rsidR="006F2551">
        <w:rPr>
          <w:rFonts w:ascii="Arial" w:hAnsi="Arial"/>
          <w:sz w:val="22"/>
          <w:szCs w:val="22"/>
        </w:rPr>
        <w:t>concerne</w:t>
      </w:r>
      <w:r w:rsidR="00594BD8">
        <w:rPr>
          <w:rFonts w:ascii="Arial" w:hAnsi="Arial"/>
          <w:sz w:val="22"/>
          <w:szCs w:val="22"/>
        </w:rPr>
        <w:t xml:space="preserve"> </w:t>
      </w:r>
      <w:r w:rsidR="006F2551">
        <w:rPr>
          <w:rFonts w:ascii="Arial" w:hAnsi="Arial"/>
          <w:sz w:val="22"/>
          <w:szCs w:val="22"/>
        </w:rPr>
        <w:t xml:space="preserve">le </w:t>
      </w:r>
      <w:r w:rsidR="00594BD8">
        <w:rPr>
          <w:rFonts w:ascii="Arial" w:hAnsi="Arial"/>
          <w:sz w:val="22"/>
          <w:szCs w:val="22"/>
        </w:rPr>
        <w:t xml:space="preserve">projet </w:t>
      </w:r>
      <w:proofErr w:type="spellStart"/>
      <w:r w:rsidR="00594BD8">
        <w:rPr>
          <w:rFonts w:ascii="Arial" w:hAnsi="Arial"/>
          <w:sz w:val="22"/>
          <w:szCs w:val="22"/>
        </w:rPr>
        <w:t>NiWest</w:t>
      </w:r>
      <w:proofErr w:type="spellEnd"/>
      <w:r w:rsidR="00594BD8">
        <w:rPr>
          <w:rFonts w:ascii="Arial" w:hAnsi="Arial"/>
          <w:sz w:val="22"/>
          <w:szCs w:val="22"/>
        </w:rPr>
        <w:t xml:space="preserve"> en Australie occidentale</w:t>
      </w:r>
    </w:p>
    <w:p w14:paraId="64DF7EE6" w14:textId="4B7A692B" w:rsidR="00594BD8" w:rsidRPr="0058020B" w:rsidRDefault="00594BD8" w:rsidP="00212BB4">
      <w:pPr>
        <w:pStyle w:val="ListParagraph"/>
        <w:numPr>
          <w:ilvl w:val="0"/>
          <w:numId w:val="1"/>
        </w:numPr>
        <w:rPr>
          <w:rFonts w:ascii="Arial" w:eastAsia="Arial" w:hAnsi="Arial" w:cs="Arial"/>
          <w:sz w:val="22"/>
          <w:szCs w:val="22"/>
        </w:rPr>
      </w:pPr>
      <w:r>
        <w:rPr>
          <w:rFonts w:ascii="Arial" w:hAnsi="Arial"/>
          <w:sz w:val="22"/>
          <w:szCs w:val="22"/>
        </w:rPr>
        <w:t xml:space="preserve">Prévu pour une durée initiale de cinq ans, cet accord </w:t>
      </w:r>
      <w:r w:rsidR="00991661">
        <w:rPr>
          <w:rFonts w:ascii="Arial" w:hAnsi="Arial"/>
          <w:sz w:val="22"/>
          <w:szCs w:val="22"/>
        </w:rPr>
        <w:t xml:space="preserve">portera sur </w:t>
      </w:r>
      <w:r>
        <w:rPr>
          <w:rFonts w:ascii="Arial" w:hAnsi="Arial"/>
          <w:sz w:val="22"/>
          <w:szCs w:val="22"/>
        </w:rPr>
        <w:t xml:space="preserve">environ 40 % de la production annuelle </w:t>
      </w:r>
      <w:r w:rsidR="00C30A5A">
        <w:rPr>
          <w:rFonts w:ascii="Arial" w:hAnsi="Arial"/>
          <w:sz w:val="22"/>
          <w:szCs w:val="22"/>
        </w:rPr>
        <w:t xml:space="preserve">escomptée </w:t>
      </w:r>
      <w:r w:rsidR="00E100EF">
        <w:rPr>
          <w:rFonts w:ascii="Arial" w:hAnsi="Arial"/>
          <w:sz w:val="22"/>
          <w:szCs w:val="22"/>
        </w:rPr>
        <w:t xml:space="preserve">du projet </w:t>
      </w:r>
    </w:p>
    <w:p w14:paraId="6D143C7B" w14:textId="3BCEC665" w:rsidR="00F2385D" w:rsidRPr="0058020B" w:rsidRDefault="00594BD8" w:rsidP="00C167C2">
      <w:pPr>
        <w:pStyle w:val="ListParagraph"/>
        <w:numPr>
          <w:ilvl w:val="0"/>
          <w:numId w:val="1"/>
        </w:numPr>
        <w:spacing w:after="0"/>
        <w:rPr>
          <w:rFonts w:ascii="Arial" w:eastAsia="Arial" w:hAnsi="Arial" w:cs="Arial"/>
          <w:sz w:val="22"/>
          <w:szCs w:val="22"/>
        </w:rPr>
      </w:pPr>
      <w:r>
        <w:rPr>
          <w:rFonts w:ascii="Arial" w:hAnsi="Arial"/>
          <w:sz w:val="22"/>
          <w:szCs w:val="22"/>
        </w:rPr>
        <w:t>Stellantis investit 9,2 millions d’euros (15 millions </w:t>
      </w:r>
      <w:r w:rsidR="0010447B">
        <w:rPr>
          <w:rFonts w:ascii="Arial" w:hAnsi="Arial"/>
          <w:sz w:val="22"/>
          <w:szCs w:val="22"/>
        </w:rPr>
        <w:t>de dollars australiens)</w:t>
      </w:r>
      <w:r>
        <w:rPr>
          <w:rFonts w:ascii="Arial" w:hAnsi="Arial"/>
          <w:sz w:val="22"/>
          <w:szCs w:val="22"/>
        </w:rPr>
        <w:t xml:space="preserve"> dans l’achat de </w:t>
      </w:r>
      <w:r w:rsidR="00C30A5A">
        <w:rPr>
          <w:rFonts w:ascii="Arial" w:hAnsi="Arial"/>
          <w:sz w:val="22"/>
          <w:szCs w:val="22"/>
        </w:rPr>
        <w:t>nouvelles actions de</w:t>
      </w:r>
      <w:r>
        <w:rPr>
          <w:rFonts w:ascii="Arial" w:hAnsi="Arial"/>
          <w:sz w:val="22"/>
          <w:szCs w:val="22"/>
        </w:rPr>
        <w:t xml:space="preserve"> la société Alliance Nickel, soit une participation de 11,5 % </w:t>
      </w:r>
    </w:p>
    <w:p w14:paraId="3C612F59" w14:textId="76BBF916" w:rsidR="00D013CE" w:rsidRPr="0058020B" w:rsidRDefault="00F2385D" w:rsidP="00C167C2">
      <w:pPr>
        <w:pStyle w:val="ListParagraph"/>
        <w:numPr>
          <w:ilvl w:val="0"/>
          <w:numId w:val="1"/>
        </w:numPr>
        <w:spacing w:after="0"/>
        <w:rPr>
          <w:rFonts w:ascii="Arial" w:eastAsia="Arial" w:hAnsi="Arial" w:cs="Arial"/>
          <w:sz w:val="22"/>
          <w:szCs w:val="22"/>
        </w:rPr>
      </w:pPr>
      <w:r>
        <w:rPr>
          <w:rFonts w:ascii="Arial" w:hAnsi="Arial"/>
          <w:sz w:val="22"/>
          <w:szCs w:val="22"/>
        </w:rPr>
        <w:t xml:space="preserve">Cet accord renforce la chaîne de valeur de Stellantis pour la production de véhicules électriques </w:t>
      </w:r>
      <w:r w:rsidR="00991661">
        <w:rPr>
          <w:rFonts w:ascii="Arial" w:hAnsi="Arial"/>
          <w:sz w:val="22"/>
          <w:szCs w:val="22"/>
        </w:rPr>
        <w:t xml:space="preserve">conformément aux </w:t>
      </w:r>
      <w:r>
        <w:rPr>
          <w:rFonts w:ascii="Arial" w:hAnsi="Arial"/>
          <w:sz w:val="22"/>
          <w:szCs w:val="22"/>
        </w:rPr>
        <w:t xml:space="preserve">objectifs du Plan Stratégique Dare </w:t>
      </w:r>
      <w:proofErr w:type="spellStart"/>
      <w:r>
        <w:rPr>
          <w:rFonts w:ascii="Arial" w:hAnsi="Arial"/>
          <w:sz w:val="22"/>
          <w:szCs w:val="22"/>
        </w:rPr>
        <w:t>Forward</w:t>
      </w:r>
      <w:proofErr w:type="spellEnd"/>
      <w:r>
        <w:rPr>
          <w:rFonts w:ascii="Arial" w:hAnsi="Arial"/>
          <w:sz w:val="22"/>
          <w:szCs w:val="22"/>
        </w:rPr>
        <w:t> 2030</w:t>
      </w:r>
    </w:p>
    <w:p w14:paraId="77623C20" w14:textId="77777777" w:rsidR="00DA44D2" w:rsidRPr="00E241A7" w:rsidRDefault="00DA44D2" w:rsidP="00594BD8">
      <w:pPr>
        <w:spacing w:after="0"/>
        <w:ind w:left="360"/>
        <w:jc w:val="left"/>
        <w:rPr>
          <w:rFonts w:ascii="Arial" w:eastAsia="Arial" w:hAnsi="Arial" w:cs="Arial"/>
        </w:rPr>
      </w:pPr>
    </w:p>
    <w:p w14:paraId="5F662CEE" w14:textId="14D40375" w:rsidR="0066228D" w:rsidRPr="00E241A7" w:rsidRDefault="0041523D" w:rsidP="00C167C2">
      <w:pPr>
        <w:pBdr>
          <w:top w:val="nil"/>
          <w:left w:val="nil"/>
          <w:bottom w:val="nil"/>
          <w:right w:val="nil"/>
          <w:between w:val="nil"/>
        </w:pBdr>
        <w:rPr>
          <w:rFonts w:ascii="Arial" w:eastAsia="Arial" w:hAnsi="Arial" w:cs="Arial"/>
          <w:color w:val="000000"/>
          <w:sz w:val="22"/>
          <w:szCs w:val="22"/>
        </w:rPr>
      </w:pPr>
      <w:r>
        <w:rPr>
          <w:rFonts w:ascii="Arial" w:hAnsi="Arial"/>
          <w:b/>
          <w:color w:val="000000"/>
          <w:sz w:val="22"/>
          <w:szCs w:val="22"/>
        </w:rPr>
        <w:t>28</w:t>
      </w:r>
      <w:r w:rsidR="00594BD8">
        <w:rPr>
          <w:rFonts w:ascii="Arial" w:hAnsi="Arial"/>
          <w:b/>
          <w:color w:val="000000"/>
          <w:sz w:val="22"/>
          <w:szCs w:val="22"/>
        </w:rPr>
        <w:t> avril 2023, AMSTERDAM</w:t>
      </w:r>
      <w:r w:rsidR="00594BD8">
        <w:rPr>
          <w:rFonts w:ascii="Arial" w:hAnsi="Arial"/>
          <w:color w:val="000000"/>
          <w:sz w:val="22"/>
          <w:szCs w:val="22"/>
        </w:rPr>
        <w:t xml:space="preserve"> – </w:t>
      </w:r>
      <w:hyperlink r:id="rId11" w:history="1">
        <w:r w:rsidR="00594BD8">
          <w:rPr>
            <w:rStyle w:val="Hyperlink"/>
            <w:rFonts w:ascii="Arial" w:hAnsi="Arial"/>
            <w:sz w:val="22"/>
            <w:szCs w:val="22"/>
            <w:u w:val="single"/>
            <w:shd w:val="clear" w:color="auto" w:fill="FFFFFF"/>
          </w:rPr>
          <w:t>Stellantis N.V.</w:t>
        </w:r>
      </w:hyperlink>
      <w:r w:rsidR="00594BD8">
        <w:rPr>
          <w:rFonts w:ascii="Arial" w:hAnsi="Arial"/>
          <w:sz w:val="22"/>
          <w:szCs w:val="22"/>
          <w:shd w:val="clear" w:color="auto" w:fill="FFFFFF"/>
        </w:rPr>
        <w:t xml:space="preserve"> </w:t>
      </w:r>
      <w:r w:rsidR="00594BD8">
        <w:rPr>
          <w:rFonts w:ascii="Arial" w:hAnsi="Arial"/>
          <w:color w:val="000000"/>
          <w:sz w:val="22"/>
          <w:szCs w:val="22"/>
        </w:rPr>
        <w:t xml:space="preserve">et Alliance Nickel Ltd (anciennement GME </w:t>
      </w:r>
      <w:proofErr w:type="spellStart"/>
      <w:r w:rsidR="00594BD8">
        <w:rPr>
          <w:rFonts w:ascii="Arial" w:hAnsi="Arial"/>
          <w:color w:val="000000"/>
          <w:sz w:val="22"/>
          <w:szCs w:val="22"/>
        </w:rPr>
        <w:t>Resources</w:t>
      </w:r>
      <w:proofErr w:type="spellEnd"/>
      <w:r w:rsidR="00594BD8">
        <w:rPr>
          <w:rFonts w:ascii="Arial" w:hAnsi="Arial"/>
          <w:color w:val="000000"/>
          <w:sz w:val="22"/>
          <w:szCs w:val="22"/>
        </w:rPr>
        <w:t>) (ASX</w:t>
      </w:r>
      <w:r w:rsidR="0010447B">
        <w:rPr>
          <w:rFonts w:ascii="Arial" w:hAnsi="Arial"/>
          <w:color w:val="000000"/>
          <w:sz w:val="22"/>
          <w:szCs w:val="22"/>
        </w:rPr>
        <w:t> </w:t>
      </w:r>
      <w:r w:rsidR="00594BD8">
        <w:rPr>
          <w:rFonts w:ascii="Arial" w:hAnsi="Arial"/>
          <w:color w:val="000000"/>
          <w:sz w:val="22"/>
          <w:szCs w:val="22"/>
        </w:rPr>
        <w:t>: AXN</w:t>
      </w:r>
      <w:r w:rsidR="006D2F6B">
        <w:rPr>
          <w:rFonts w:ascii="Arial" w:hAnsi="Arial"/>
          <w:color w:val="000000"/>
          <w:sz w:val="22"/>
          <w:szCs w:val="22"/>
        </w:rPr>
        <w:t>, Alliance</w:t>
      </w:r>
      <w:r w:rsidR="00594BD8">
        <w:rPr>
          <w:rFonts w:ascii="Arial" w:hAnsi="Arial"/>
          <w:color w:val="000000"/>
          <w:sz w:val="22"/>
          <w:szCs w:val="22"/>
        </w:rPr>
        <w:t>) annonc</w:t>
      </w:r>
      <w:r w:rsidR="00212BB4">
        <w:rPr>
          <w:rFonts w:ascii="Arial" w:hAnsi="Arial"/>
          <w:color w:val="000000"/>
          <w:sz w:val="22"/>
          <w:szCs w:val="22"/>
        </w:rPr>
        <w:t>e</w:t>
      </w:r>
      <w:r w:rsidR="00594BD8">
        <w:rPr>
          <w:rFonts w:ascii="Arial" w:hAnsi="Arial"/>
          <w:color w:val="000000"/>
          <w:sz w:val="22"/>
          <w:szCs w:val="22"/>
        </w:rPr>
        <w:t xml:space="preserve"> aujourd</w:t>
      </w:r>
      <w:r w:rsidR="0010447B">
        <w:rPr>
          <w:rFonts w:ascii="Arial" w:hAnsi="Arial"/>
          <w:color w:val="000000"/>
          <w:sz w:val="22"/>
          <w:szCs w:val="22"/>
        </w:rPr>
        <w:t>’</w:t>
      </w:r>
      <w:r w:rsidR="00594BD8">
        <w:rPr>
          <w:rFonts w:ascii="Arial" w:hAnsi="Arial"/>
          <w:color w:val="000000"/>
          <w:sz w:val="22"/>
          <w:szCs w:val="22"/>
        </w:rPr>
        <w:t>hui la signature d</w:t>
      </w:r>
      <w:r w:rsidR="0010447B">
        <w:rPr>
          <w:rFonts w:ascii="Arial" w:hAnsi="Arial"/>
          <w:color w:val="000000"/>
          <w:sz w:val="22"/>
          <w:szCs w:val="22"/>
        </w:rPr>
        <w:t>’</w:t>
      </w:r>
      <w:r w:rsidR="00594BD8">
        <w:rPr>
          <w:rFonts w:ascii="Arial" w:hAnsi="Arial"/>
          <w:color w:val="000000"/>
          <w:sz w:val="22"/>
          <w:szCs w:val="22"/>
        </w:rPr>
        <w:t xml:space="preserve">un accord </w:t>
      </w:r>
      <w:r w:rsidR="00991661">
        <w:rPr>
          <w:rFonts w:ascii="Arial" w:hAnsi="Arial"/>
          <w:color w:val="000000"/>
          <w:sz w:val="22"/>
          <w:szCs w:val="22"/>
        </w:rPr>
        <w:t>engageant pour l’</w:t>
      </w:r>
      <w:r w:rsidR="00594BD8">
        <w:rPr>
          <w:rFonts w:ascii="Arial" w:hAnsi="Arial"/>
          <w:color w:val="000000"/>
          <w:sz w:val="22"/>
          <w:szCs w:val="22"/>
        </w:rPr>
        <w:t xml:space="preserve">approvisionnement </w:t>
      </w:r>
      <w:r w:rsidR="0066228D">
        <w:rPr>
          <w:rFonts w:ascii="Arial" w:hAnsi="Arial"/>
          <w:color w:val="000000"/>
          <w:sz w:val="22"/>
          <w:szCs w:val="22"/>
        </w:rPr>
        <w:t xml:space="preserve">de 170 000 tonnes </w:t>
      </w:r>
      <w:r w:rsidR="00991661">
        <w:rPr>
          <w:rFonts w:ascii="Arial" w:hAnsi="Arial"/>
          <w:color w:val="000000"/>
          <w:sz w:val="22"/>
          <w:szCs w:val="22"/>
        </w:rPr>
        <w:t xml:space="preserve">de </w:t>
      </w:r>
      <w:r w:rsidR="00594BD8">
        <w:rPr>
          <w:rFonts w:ascii="Arial" w:hAnsi="Arial"/>
          <w:color w:val="000000"/>
          <w:sz w:val="22"/>
          <w:szCs w:val="22"/>
        </w:rPr>
        <w:t>sulfate de nickel et</w:t>
      </w:r>
      <w:r w:rsidR="0066228D">
        <w:rPr>
          <w:rFonts w:ascii="Arial" w:hAnsi="Arial"/>
          <w:color w:val="000000"/>
          <w:sz w:val="22"/>
          <w:szCs w:val="22"/>
        </w:rPr>
        <w:t xml:space="preserve"> 12 000 tonnes </w:t>
      </w:r>
      <w:r w:rsidR="00991661">
        <w:rPr>
          <w:rFonts w:ascii="Arial" w:hAnsi="Arial"/>
          <w:color w:val="000000"/>
          <w:sz w:val="22"/>
          <w:szCs w:val="22"/>
        </w:rPr>
        <w:t>de</w:t>
      </w:r>
      <w:r w:rsidR="00594BD8">
        <w:rPr>
          <w:rFonts w:ascii="Arial" w:hAnsi="Arial"/>
          <w:color w:val="000000"/>
          <w:sz w:val="22"/>
          <w:szCs w:val="22"/>
        </w:rPr>
        <w:t xml:space="preserve"> </w:t>
      </w:r>
      <w:r w:rsidR="0066228D">
        <w:rPr>
          <w:rFonts w:ascii="Arial" w:hAnsi="Arial"/>
          <w:color w:val="000000"/>
          <w:sz w:val="22"/>
          <w:szCs w:val="22"/>
        </w:rPr>
        <w:t xml:space="preserve">sulfate de </w:t>
      </w:r>
      <w:r w:rsidR="00594BD8">
        <w:rPr>
          <w:rFonts w:ascii="Arial" w:hAnsi="Arial"/>
          <w:color w:val="000000"/>
          <w:sz w:val="22"/>
          <w:szCs w:val="22"/>
        </w:rPr>
        <w:t xml:space="preserve">cobalt </w:t>
      </w:r>
      <w:r w:rsidR="0010447B">
        <w:rPr>
          <w:rFonts w:ascii="Arial" w:hAnsi="Arial"/>
          <w:color w:val="000000"/>
          <w:sz w:val="22"/>
          <w:szCs w:val="22"/>
        </w:rPr>
        <w:t xml:space="preserve">pour une durée initiale de cinq ans. Cela représente </w:t>
      </w:r>
      <w:r w:rsidR="00594BD8">
        <w:rPr>
          <w:rFonts w:ascii="Arial" w:hAnsi="Arial"/>
          <w:color w:val="000000"/>
          <w:sz w:val="22"/>
          <w:szCs w:val="22"/>
        </w:rPr>
        <w:t>environ 40 </w:t>
      </w:r>
      <w:r w:rsidR="00594BD8" w:rsidRPr="0010447B">
        <w:rPr>
          <w:rFonts w:ascii="Arial" w:hAnsi="Arial"/>
          <w:color w:val="000000"/>
          <w:sz w:val="22"/>
          <w:szCs w:val="22"/>
        </w:rPr>
        <w:t xml:space="preserve">% de la production annuelle </w:t>
      </w:r>
      <w:r w:rsidR="0010447B" w:rsidRPr="0010447B">
        <w:rPr>
          <w:rFonts w:ascii="Arial" w:hAnsi="Arial"/>
          <w:color w:val="000000"/>
          <w:sz w:val="22"/>
          <w:szCs w:val="22"/>
        </w:rPr>
        <w:t xml:space="preserve">prévue pour le projet </w:t>
      </w:r>
      <w:proofErr w:type="spellStart"/>
      <w:r w:rsidR="0010447B" w:rsidRPr="0010447B">
        <w:rPr>
          <w:rFonts w:ascii="Arial" w:hAnsi="Arial"/>
          <w:sz w:val="22"/>
          <w:szCs w:val="22"/>
        </w:rPr>
        <w:t>NiWest</w:t>
      </w:r>
      <w:proofErr w:type="spellEnd"/>
      <w:r w:rsidR="0010447B" w:rsidRPr="0010447B">
        <w:rPr>
          <w:rFonts w:ascii="Arial" w:hAnsi="Arial"/>
          <w:sz w:val="22"/>
          <w:szCs w:val="22"/>
        </w:rPr>
        <w:t xml:space="preserve"> en Australie occidentale</w:t>
      </w:r>
      <w:r w:rsidR="00594BD8" w:rsidRPr="0010447B">
        <w:rPr>
          <w:rFonts w:ascii="Arial" w:hAnsi="Arial"/>
          <w:color w:val="000000"/>
          <w:sz w:val="22"/>
          <w:szCs w:val="22"/>
        </w:rPr>
        <w:t>.</w:t>
      </w:r>
      <w:r w:rsidR="0066228D" w:rsidRPr="0010447B">
        <w:rPr>
          <w:rFonts w:ascii="Arial" w:eastAsia="Arial" w:hAnsi="Arial" w:cs="Arial"/>
          <w:color w:val="000000"/>
          <w:sz w:val="22"/>
          <w:szCs w:val="22"/>
        </w:rPr>
        <w:t xml:space="preserve"> Le prix du sulfate de nickel et de cobalt </w:t>
      </w:r>
      <w:r w:rsidR="0010447B" w:rsidRPr="00C167C2">
        <w:rPr>
          <w:rFonts w:ascii="Arial" w:eastAsia="Arial" w:hAnsi="Arial" w:cs="Arial"/>
          <w:color w:val="000000"/>
          <w:sz w:val="22"/>
          <w:szCs w:val="22"/>
        </w:rPr>
        <w:t>sera</w:t>
      </w:r>
      <w:r w:rsidR="0066228D" w:rsidRPr="0010447B">
        <w:rPr>
          <w:rFonts w:ascii="Arial" w:eastAsia="Arial" w:hAnsi="Arial" w:cs="Arial"/>
          <w:color w:val="000000"/>
          <w:sz w:val="22"/>
          <w:szCs w:val="22"/>
        </w:rPr>
        <w:t xml:space="preserve"> lié aux prix de l</w:t>
      </w:r>
      <w:r w:rsidR="0010447B">
        <w:rPr>
          <w:rFonts w:ascii="Arial" w:eastAsia="Arial" w:hAnsi="Arial" w:cs="Arial"/>
          <w:color w:val="000000"/>
          <w:sz w:val="22"/>
          <w:szCs w:val="22"/>
        </w:rPr>
        <w:t>’</w:t>
      </w:r>
      <w:r w:rsidR="0066228D" w:rsidRPr="0010447B">
        <w:rPr>
          <w:rFonts w:ascii="Arial" w:eastAsia="Arial" w:hAnsi="Arial" w:cs="Arial"/>
          <w:color w:val="000000"/>
          <w:sz w:val="22"/>
          <w:szCs w:val="22"/>
        </w:rPr>
        <w:t>indice.</w:t>
      </w:r>
    </w:p>
    <w:p w14:paraId="198BE4B3" w14:textId="72B347C7" w:rsidR="00E87F6E" w:rsidRPr="00E100EF" w:rsidRDefault="00E55D06" w:rsidP="00C167C2">
      <w:pPr>
        <w:pBdr>
          <w:top w:val="nil"/>
          <w:left w:val="nil"/>
          <w:bottom w:val="nil"/>
          <w:right w:val="nil"/>
          <w:between w:val="nil"/>
        </w:pBdr>
        <w:rPr>
          <w:rFonts w:ascii="Arial" w:hAnsi="Arial"/>
          <w:color w:val="000000"/>
          <w:sz w:val="22"/>
          <w:szCs w:val="22"/>
        </w:rPr>
      </w:pPr>
      <w:r w:rsidRPr="00E100EF">
        <w:rPr>
          <w:rFonts w:ascii="Arial" w:hAnsi="Arial"/>
          <w:color w:val="000000"/>
          <w:sz w:val="22"/>
          <w:szCs w:val="22"/>
        </w:rPr>
        <w:t>En outre, Stellantis a convenu d’</w:t>
      </w:r>
      <w:r w:rsidR="0010447B" w:rsidRPr="00C167C2">
        <w:rPr>
          <w:rFonts w:ascii="Arial" w:hAnsi="Arial"/>
          <w:color w:val="000000"/>
          <w:sz w:val="22"/>
          <w:szCs w:val="22"/>
        </w:rPr>
        <w:t xml:space="preserve">acheter </w:t>
      </w:r>
      <w:r w:rsidR="00C30A5A">
        <w:rPr>
          <w:rFonts w:ascii="Arial" w:hAnsi="Arial"/>
          <w:color w:val="000000"/>
          <w:sz w:val="22"/>
          <w:szCs w:val="22"/>
        </w:rPr>
        <w:t xml:space="preserve">pour </w:t>
      </w:r>
      <w:r w:rsidRPr="00E100EF">
        <w:rPr>
          <w:rFonts w:ascii="Arial" w:hAnsi="Arial"/>
          <w:color w:val="000000"/>
          <w:sz w:val="22"/>
          <w:szCs w:val="22"/>
        </w:rPr>
        <w:t>9,2 millions d’euros (15 millions </w:t>
      </w:r>
      <w:r w:rsidR="008B5764" w:rsidRPr="00E100EF">
        <w:rPr>
          <w:rFonts w:ascii="Arial" w:hAnsi="Arial"/>
          <w:color w:val="000000"/>
          <w:sz w:val="22"/>
          <w:szCs w:val="22"/>
        </w:rPr>
        <w:t>de dollars australiens</w:t>
      </w:r>
      <w:r w:rsidRPr="00E100EF">
        <w:rPr>
          <w:rFonts w:ascii="Arial" w:hAnsi="Arial"/>
          <w:color w:val="000000"/>
          <w:sz w:val="22"/>
          <w:szCs w:val="22"/>
        </w:rPr>
        <w:t xml:space="preserve">) </w:t>
      </w:r>
      <w:r w:rsidR="008B5764" w:rsidRPr="00E100EF">
        <w:rPr>
          <w:rFonts w:ascii="Arial" w:hAnsi="Arial"/>
          <w:color w:val="000000"/>
          <w:sz w:val="22"/>
          <w:szCs w:val="22"/>
        </w:rPr>
        <w:t>de nouvelles actions d</w:t>
      </w:r>
      <w:r w:rsidR="00C30A5A">
        <w:rPr>
          <w:rFonts w:ascii="Arial" w:hAnsi="Arial"/>
          <w:color w:val="000000"/>
          <w:sz w:val="22"/>
          <w:szCs w:val="22"/>
        </w:rPr>
        <w:t>’</w:t>
      </w:r>
      <w:r w:rsidRPr="00E100EF">
        <w:rPr>
          <w:rFonts w:ascii="Arial" w:hAnsi="Arial"/>
          <w:color w:val="000000"/>
          <w:sz w:val="22"/>
          <w:szCs w:val="22"/>
        </w:rPr>
        <w:t>Alliance Nickel, soit une participation de 11,5 % à la date de réalisation de l’opération</w:t>
      </w:r>
      <w:r w:rsidR="00E100EF">
        <w:rPr>
          <w:rFonts w:ascii="Arial" w:hAnsi="Arial"/>
          <w:color w:val="000000"/>
          <w:sz w:val="22"/>
          <w:szCs w:val="22"/>
        </w:rPr>
        <w:t xml:space="preserve">, </w:t>
      </w:r>
      <w:r w:rsidRPr="00E100EF">
        <w:rPr>
          <w:rFonts w:ascii="Arial" w:hAnsi="Arial"/>
          <w:color w:val="000000"/>
          <w:sz w:val="22"/>
          <w:szCs w:val="22"/>
        </w:rPr>
        <w:t xml:space="preserve">et le droit de nommer un directeur </w:t>
      </w:r>
      <w:r w:rsidR="0010447B" w:rsidRPr="00E100EF">
        <w:rPr>
          <w:rFonts w:ascii="Arial" w:hAnsi="Arial"/>
          <w:color w:val="000000"/>
          <w:sz w:val="22"/>
          <w:szCs w:val="22"/>
        </w:rPr>
        <w:t>a</w:t>
      </w:r>
      <w:r w:rsidRPr="00E100EF">
        <w:rPr>
          <w:rFonts w:ascii="Arial" w:hAnsi="Arial"/>
          <w:color w:val="000000"/>
          <w:sz w:val="22"/>
          <w:szCs w:val="22"/>
        </w:rPr>
        <w:t>u conseil d’administration d’Alliance.</w:t>
      </w:r>
    </w:p>
    <w:p w14:paraId="26D17867" w14:textId="42180CEF" w:rsidR="004112A2" w:rsidRDefault="00E87F6E" w:rsidP="004112A2">
      <w:pPr>
        <w:pBdr>
          <w:top w:val="nil"/>
          <w:left w:val="nil"/>
          <w:bottom w:val="nil"/>
          <w:right w:val="nil"/>
          <w:between w:val="nil"/>
        </w:pBdr>
        <w:rPr>
          <w:rFonts w:ascii="Arial" w:hAnsi="Arial"/>
          <w:color w:val="000000"/>
          <w:sz w:val="22"/>
          <w:szCs w:val="22"/>
        </w:rPr>
      </w:pPr>
      <w:r w:rsidRPr="00E100EF">
        <w:rPr>
          <w:rFonts w:ascii="Arial" w:hAnsi="Arial"/>
          <w:color w:val="000000"/>
          <w:sz w:val="22"/>
          <w:szCs w:val="22"/>
        </w:rPr>
        <w:t>« Les engagements d</w:t>
      </w:r>
      <w:r w:rsidR="00E100EF">
        <w:rPr>
          <w:rFonts w:ascii="Arial" w:hAnsi="Arial"/>
          <w:color w:val="000000"/>
          <w:sz w:val="22"/>
          <w:szCs w:val="22"/>
        </w:rPr>
        <w:t xml:space="preserve">e notre </w:t>
      </w:r>
      <w:r w:rsidRPr="00E100EF">
        <w:rPr>
          <w:rFonts w:ascii="Arial" w:hAnsi="Arial"/>
          <w:color w:val="000000"/>
          <w:sz w:val="22"/>
          <w:szCs w:val="22"/>
        </w:rPr>
        <w:t xml:space="preserve">plan Dare </w:t>
      </w:r>
      <w:proofErr w:type="spellStart"/>
      <w:r w:rsidRPr="00E100EF">
        <w:rPr>
          <w:rFonts w:ascii="Arial" w:hAnsi="Arial"/>
          <w:color w:val="000000"/>
          <w:sz w:val="22"/>
          <w:szCs w:val="22"/>
        </w:rPr>
        <w:t>Forward</w:t>
      </w:r>
      <w:proofErr w:type="spellEnd"/>
      <w:r w:rsidRPr="00E100EF">
        <w:rPr>
          <w:rFonts w:ascii="Arial" w:hAnsi="Arial"/>
          <w:color w:val="000000"/>
          <w:sz w:val="22"/>
          <w:szCs w:val="22"/>
        </w:rPr>
        <w:t xml:space="preserve"> 2030 et </w:t>
      </w:r>
      <w:r w:rsidR="0010447B" w:rsidRPr="00C167C2">
        <w:rPr>
          <w:rFonts w:ascii="Arial" w:hAnsi="Arial"/>
          <w:color w:val="000000"/>
          <w:sz w:val="22"/>
          <w:szCs w:val="22"/>
        </w:rPr>
        <w:t xml:space="preserve">notre volonté d’être le leader du secteur en termes </w:t>
      </w:r>
      <w:r w:rsidR="004E6CB7">
        <w:rPr>
          <w:rFonts w:ascii="Arial" w:hAnsi="Arial"/>
          <w:color w:val="000000"/>
          <w:sz w:val="22"/>
          <w:szCs w:val="22"/>
        </w:rPr>
        <w:t xml:space="preserve">de </w:t>
      </w:r>
      <w:r w:rsidRPr="00E100EF">
        <w:rPr>
          <w:rFonts w:ascii="Arial" w:hAnsi="Arial"/>
          <w:color w:val="000000"/>
          <w:sz w:val="22"/>
          <w:szCs w:val="22"/>
        </w:rPr>
        <w:t xml:space="preserve">décarbonation </w:t>
      </w:r>
      <w:r w:rsidR="0010447B" w:rsidRPr="00C167C2">
        <w:rPr>
          <w:rFonts w:ascii="Arial" w:hAnsi="Arial"/>
          <w:color w:val="000000"/>
          <w:sz w:val="22"/>
          <w:szCs w:val="22"/>
        </w:rPr>
        <w:t xml:space="preserve">doivent s’appuyer </w:t>
      </w:r>
      <w:r w:rsidRPr="00E100EF">
        <w:rPr>
          <w:rFonts w:ascii="Arial" w:hAnsi="Arial"/>
          <w:color w:val="000000"/>
          <w:sz w:val="22"/>
          <w:szCs w:val="22"/>
        </w:rPr>
        <w:t>sur un approvisionnement sécurisé en matières premières essentielles</w:t>
      </w:r>
      <w:r w:rsidR="007A61F4">
        <w:rPr>
          <w:rFonts w:ascii="Arial" w:hAnsi="Arial"/>
          <w:color w:val="000000"/>
          <w:sz w:val="22"/>
          <w:szCs w:val="22"/>
        </w:rPr>
        <w:t xml:space="preserve"> </w:t>
      </w:r>
      <w:r w:rsidR="00E100EF">
        <w:rPr>
          <w:rFonts w:ascii="Arial" w:hAnsi="Arial"/>
          <w:color w:val="000000"/>
          <w:sz w:val="22"/>
          <w:szCs w:val="22"/>
        </w:rPr>
        <w:t xml:space="preserve">pour </w:t>
      </w:r>
      <w:r w:rsidR="0010447B" w:rsidRPr="00E100EF">
        <w:rPr>
          <w:rFonts w:ascii="Arial" w:hAnsi="Arial"/>
          <w:color w:val="000000"/>
          <w:sz w:val="22"/>
          <w:szCs w:val="22"/>
        </w:rPr>
        <w:t>nos véhicules électriques</w:t>
      </w:r>
      <w:r w:rsidRPr="00E100EF">
        <w:rPr>
          <w:rFonts w:ascii="Arial" w:hAnsi="Arial"/>
          <w:color w:val="000000"/>
          <w:sz w:val="22"/>
          <w:szCs w:val="22"/>
        </w:rPr>
        <w:t xml:space="preserve"> », </w:t>
      </w:r>
      <w:r w:rsidR="008B5764" w:rsidRPr="00E100EF">
        <w:rPr>
          <w:rFonts w:ascii="Arial" w:eastAsia="Arial" w:hAnsi="Arial" w:cs="Arial"/>
          <w:color w:val="000000"/>
          <w:sz w:val="22"/>
          <w:szCs w:val="22"/>
        </w:rPr>
        <w:t xml:space="preserve">a déclaré Carlos Tavares, CEO de </w:t>
      </w:r>
      <w:r w:rsidRPr="00E100EF">
        <w:rPr>
          <w:rFonts w:ascii="Arial" w:hAnsi="Arial"/>
          <w:color w:val="000000"/>
          <w:sz w:val="22"/>
          <w:szCs w:val="22"/>
        </w:rPr>
        <w:t xml:space="preserve">Stellantis. « Le partenariat avec Alliance Nickel représente un élément </w:t>
      </w:r>
      <w:r w:rsidR="0010447B" w:rsidRPr="00E100EF">
        <w:rPr>
          <w:rFonts w:ascii="Arial" w:hAnsi="Arial"/>
          <w:color w:val="000000"/>
          <w:sz w:val="22"/>
          <w:szCs w:val="22"/>
        </w:rPr>
        <w:t>clé</w:t>
      </w:r>
      <w:r w:rsidRPr="00E100EF">
        <w:rPr>
          <w:rFonts w:ascii="Arial" w:hAnsi="Arial"/>
          <w:color w:val="000000"/>
          <w:sz w:val="22"/>
          <w:szCs w:val="22"/>
        </w:rPr>
        <w:t xml:space="preserve"> de notre plan visant à garantir une mobilité sûre, propre et abordable pour tous. »</w:t>
      </w:r>
    </w:p>
    <w:p w14:paraId="7D3171AB" w14:textId="5BDFCB8A" w:rsidR="008B5764" w:rsidRDefault="001A25FF" w:rsidP="007A61F4">
      <w:pPr>
        <w:rPr>
          <w:rFonts w:ascii="Arial" w:hAnsi="Arial"/>
          <w:color w:val="000000"/>
          <w:sz w:val="22"/>
          <w:szCs w:val="22"/>
        </w:rPr>
      </w:pPr>
      <w:r>
        <w:rPr>
          <w:rFonts w:ascii="Arial" w:hAnsi="Arial"/>
          <w:color w:val="000000"/>
          <w:sz w:val="22"/>
          <w:szCs w:val="22"/>
        </w:rPr>
        <w:t xml:space="preserve">« Les accords </w:t>
      </w:r>
      <w:r w:rsidR="008B3E6B">
        <w:rPr>
          <w:rFonts w:ascii="Arial" w:hAnsi="Arial"/>
          <w:color w:val="000000"/>
          <w:sz w:val="22"/>
          <w:szCs w:val="22"/>
        </w:rPr>
        <w:t xml:space="preserve">engageants </w:t>
      </w:r>
      <w:r>
        <w:rPr>
          <w:rFonts w:ascii="Arial" w:hAnsi="Arial"/>
          <w:color w:val="000000"/>
          <w:sz w:val="22"/>
          <w:szCs w:val="22"/>
        </w:rPr>
        <w:t xml:space="preserve">conclus avec Stellantis, </w:t>
      </w:r>
      <w:r w:rsidR="008B3E6B">
        <w:rPr>
          <w:rFonts w:ascii="Arial" w:hAnsi="Arial"/>
          <w:color w:val="000000"/>
          <w:sz w:val="22"/>
          <w:szCs w:val="22"/>
        </w:rPr>
        <w:t xml:space="preserve">l’un des </w:t>
      </w:r>
      <w:r>
        <w:rPr>
          <w:rFonts w:ascii="Arial" w:hAnsi="Arial"/>
          <w:color w:val="000000"/>
          <w:sz w:val="22"/>
          <w:szCs w:val="22"/>
        </w:rPr>
        <w:t>constructeur</w:t>
      </w:r>
      <w:r w:rsidR="008B3E6B">
        <w:rPr>
          <w:rFonts w:ascii="Arial" w:hAnsi="Arial"/>
          <w:color w:val="000000"/>
          <w:sz w:val="22"/>
          <w:szCs w:val="22"/>
        </w:rPr>
        <w:t>s</w:t>
      </w:r>
      <w:r>
        <w:rPr>
          <w:rFonts w:ascii="Arial" w:hAnsi="Arial"/>
          <w:color w:val="000000"/>
          <w:sz w:val="22"/>
          <w:szCs w:val="22"/>
        </w:rPr>
        <w:t xml:space="preserve"> automobile</w:t>
      </w:r>
      <w:r w:rsidR="008B3E6B">
        <w:rPr>
          <w:rFonts w:ascii="Arial" w:hAnsi="Arial"/>
          <w:color w:val="000000"/>
          <w:sz w:val="22"/>
          <w:szCs w:val="22"/>
        </w:rPr>
        <w:t xml:space="preserve">s mondiaux les plus importants </w:t>
      </w:r>
      <w:r>
        <w:rPr>
          <w:rFonts w:ascii="Arial" w:hAnsi="Arial"/>
          <w:color w:val="000000"/>
          <w:sz w:val="22"/>
          <w:szCs w:val="22"/>
        </w:rPr>
        <w:t xml:space="preserve">et parmi les plus innovants du secteur, transforment littéralement l’avenir d’Alliance. Ils confirment notre stratégie de développement pour le projet </w:t>
      </w:r>
      <w:proofErr w:type="spellStart"/>
      <w:r>
        <w:rPr>
          <w:rFonts w:ascii="Arial" w:hAnsi="Arial"/>
          <w:color w:val="000000"/>
          <w:sz w:val="22"/>
          <w:szCs w:val="22"/>
        </w:rPr>
        <w:t>NiWest</w:t>
      </w:r>
      <w:proofErr w:type="spellEnd"/>
      <w:r>
        <w:rPr>
          <w:rFonts w:ascii="Arial" w:hAnsi="Arial"/>
          <w:color w:val="000000"/>
          <w:sz w:val="22"/>
          <w:szCs w:val="22"/>
        </w:rPr>
        <w:t xml:space="preserve"> Nickel-Cobalt et ouvrent de nouvelles options de financement fondamentales</w:t>
      </w:r>
      <w:r w:rsidR="008B3E6B">
        <w:rPr>
          <w:rFonts w:ascii="Arial" w:hAnsi="Arial"/>
          <w:color w:val="000000"/>
          <w:sz w:val="22"/>
          <w:szCs w:val="22"/>
        </w:rPr>
        <w:t xml:space="preserve"> en garantissant un client et un investisseur de premier plan</w:t>
      </w:r>
      <w:r w:rsidR="002A00DE">
        <w:rPr>
          <w:rFonts w:ascii="Arial" w:hAnsi="Arial"/>
          <w:color w:val="000000"/>
          <w:sz w:val="22"/>
          <w:szCs w:val="22"/>
        </w:rPr>
        <w:t xml:space="preserve"> </w:t>
      </w:r>
      <w:r>
        <w:rPr>
          <w:rFonts w:ascii="Arial" w:hAnsi="Arial"/>
          <w:color w:val="000000"/>
          <w:sz w:val="22"/>
          <w:szCs w:val="22"/>
        </w:rPr>
        <w:t xml:space="preserve">», a déclaré Paul </w:t>
      </w:r>
      <w:proofErr w:type="spellStart"/>
      <w:r>
        <w:rPr>
          <w:rFonts w:ascii="Arial" w:hAnsi="Arial"/>
          <w:color w:val="000000"/>
          <w:sz w:val="22"/>
          <w:szCs w:val="22"/>
        </w:rPr>
        <w:t>Kopejtka</w:t>
      </w:r>
      <w:proofErr w:type="spellEnd"/>
      <w:r>
        <w:rPr>
          <w:rFonts w:ascii="Arial" w:hAnsi="Arial"/>
          <w:color w:val="000000"/>
          <w:sz w:val="22"/>
          <w:szCs w:val="22"/>
        </w:rPr>
        <w:t xml:space="preserve">, CEO et </w:t>
      </w:r>
      <w:proofErr w:type="spellStart"/>
      <w:r>
        <w:rPr>
          <w:rFonts w:ascii="Arial" w:hAnsi="Arial"/>
          <w:color w:val="000000"/>
          <w:sz w:val="22"/>
          <w:szCs w:val="22"/>
        </w:rPr>
        <w:t>Managing</w:t>
      </w:r>
      <w:proofErr w:type="spellEnd"/>
      <w:r>
        <w:rPr>
          <w:rFonts w:ascii="Arial" w:hAnsi="Arial"/>
          <w:color w:val="000000"/>
          <w:sz w:val="22"/>
          <w:szCs w:val="22"/>
        </w:rPr>
        <w:t xml:space="preserve"> </w:t>
      </w:r>
      <w:proofErr w:type="spellStart"/>
      <w:r>
        <w:rPr>
          <w:rFonts w:ascii="Arial" w:hAnsi="Arial"/>
          <w:color w:val="000000"/>
          <w:sz w:val="22"/>
          <w:szCs w:val="22"/>
        </w:rPr>
        <w:t>Director</w:t>
      </w:r>
      <w:proofErr w:type="spellEnd"/>
      <w:r>
        <w:rPr>
          <w:rFonts w:ascii="Arial" w:hAnsi="Arial"/>
          <w:color w:val="000000"/>
          <w:sz w:val="22"/>
          <w:szCs w:val="22"/>
        </w:rPr>
        <w:t xml:space="preserve"> d’Alliance. « Nous nous réjouissons d’une relation longue et productive entre Alliance et Stellantis alors que nous poursuivons notre objectif : devenir le prochain fournisseur australien de sulfate de nickel et de cobalt de </w:t>
      </w:r>
      <w:r w:rsidR="008B3E6B">
        <w:rPr>
          <w:rFonts w:ascii="Arial" w:hAnsi="Arial"/>
          <w:color w:val="000000"/>
          <w:sz w:val="22"/>
          <w:szCs w:val="22"/>
        </w:rPr>
        <w:t>‘</w:t>
      </w:r>
      <w:r>
        <w:rPr>
          <w:rFonts w:ascii="Arial" w:hAnsi="Arial"/>
          <w:color w:val="000000"/>
          <w:sz w:val="22"/>
          <w:szCs w:val="22"/>
        </w:rPr>
        <w:t>qualité batterie</w:t>
      </w:r>
      <w:r w:rsidR="008B3E6B">
        <w:rPr>
          <w:rFonts w:ascii="Arial" w:hAnsi="Arial"/>
          <w:color w:val="000000"/>
          <w:sz w:val="22"/>
          <w:szCs w:val="22"/>
        </w:rPr>
        <w:t>’</w:t>
      </w:r>
      <w:r>
        <w:rPr>
          <w:rFonts w:ascii="Arial" w:hAnsi="Arial"/>
          <w:color w:val="000000"/>
          <w:sz w:val="22"/>
          <w:szCs w:val="22"/>
        </w:rPr>
        <w:t xml:space="preserve"> pour les marchés internationaux. Ce partenariat s’inscrit </w:t>
      </w:r>
      <w:r w:rsidR="007A61F4">
        <w:rPr>
          <w:rFonts w:ascii="Arial" w:hAnsi="Arial"/>
          <w:color w:val="000000"/>
          <w:sz w:val="22"/>
          <w:szCs w:val="22"/>
        </w:rPr>
        <w:lastRenderedPageBreak/>
        <w:t xml:space="preserve">parfaitement dans une des </w:t>
      </w:r>
      <w:r>
        <w:rPr>
          <w:rFonts w:ascii="Arial" w:hAnsi="Arial"/>
          <w:color w:val="000000"/>
          <w:sz w:val="22"/>
          <w:szCs w:val="22"/>
        </w:rPr>
        <w:t>valeur</w:t>
      </w:r>
      <w:r w:rsidR="007A61F4">
        <w:rPr>
          <w:rFonts w:ascii="Arial" w:hAnsi="Arial"/>
          <w:color w:val="000000"/>
          <w:sz w:val="22"/>
          <w:szCs w:val="22"/>
        </w:rPr>
        <w:t>s</w:t>
      </w:r>
      <w:r>
        <w:rPr>
          <w:rFonts w:ascii="Arial" w:hAnsi="Arial"/>
          <w:color w:val="000000"/>
          <w:sz w:val="22"/>
          <w:szCs w:val="22"/>
        </w:rPr>
        <w:t xml:space="preserve"> commune</w:t>
      </w:r>
      <w:r w:rsidR="007A61F4">
        <w:rPr>
          <w:rFonts w:ascii="Arial" w:hAnsi="Arial"/>
          <w:color w:val="000000"/>
          <w:sz w:val="22"/>
          <w:szCs w:val="22"/>
        </w:rPr>
        <w:t>s</w:t>
      </w:r>
      <w:r>
        <w:rPr>
          <w:rFonts w:ascii="Arial" w:hAnsi="Arial"/>
          <w:color w:val="000000"/>
          <w:sz w:val="22"/>
          <w:szCs w:val="22"/>
        </w:rPr>
        <w:t xml:space="preserve"> à nos deux entreprises : ‘Nous gagnons ensemble’. »</w:t>
      </w:r>
    </w:p>
    <w:p w14:paraId="4B03E389" w14:textId="222F6336" w:rsidR="00495D4A" w:rsidRDefault="00326642" w:rsidP="00C167C2">
      <w:pPr>
        <w:pBdr>
          <w:top w:val="nil"/>
          <w:left w:val="nil"/>
          <w:bottom w:val="nil"/>
          <w:right w:val="nil"/>
          <w:between w:val="nil"/>
        </w:pBdr>
        <w:rPr>
          <w:rFonts w:ascii="Arial" w:hAnsi="Arial"/>
          <w:color w:val="000000"/>
          <w:sz w:val="22"/>
          <w:szCs w:val="22"/>
        </w:rPr>
      </w:pPr>
      <w:r>
        <w:rPr>
          <w:rFonts w:ascii="Arial" w:hAnsi="Arial"/>
          <w:color w:val="000000"/>
          <w:sz w:val="22"/>
          <w:szCs w:val="22"/>
        </w:rPr>
        <w:t xml:space="preserve">Ces </w:t>
      </w:r>
      <w:r w:rsidR="00495D4A">
        <w:rPr>
          <w:rFonts w:ascii="Arial" w:hAnsi="Arial"/>
          <w:color w:val="000000"/>
          <w:sz w:val="22"/>
          <w:szCs w:val="22"/>
        </w:rPr>
        <w:t>accord</w:t>
      </w:r>
      <w:r>
        <w:rPr>
          <w:rFonts w:ascii="Arial" w:hAnsi="Arial"/>
          <w:color w:val="000000"/>
          <w:sz w:val="22"/>
          <w:szCs w:val="22"/>
        </w:rPr>
        <w:t>s</w:t>
      </w:r>
      <w:r w:rsidR="00495D4A">
        <w:rPr>
          <w:rFonts w:ascii="Arial" w:hAnsi="Arial"/>
          <w:color w:val="000000"/>
          <w:sz w:val="22"/>
          <w:szCs w:val="22"/>
        </w:rPr>
        <w:t xml:space="preserve"> </w:t>
      </w:r>
      <w:r w:rsidR="0010447B">
        <w:rPr>
          <w:rFonts w:ascii="Arial" w:hAnsi="Arial"/>
          <w:color w:val="000000"/>
          <w:sz w:val="22"/>
          <w:szCs w:val="22"/>
        </w:rPr>
        <w:t>pour l’</w:t>
      </w:r>
      <w:r w:rsidR="00495D4A">
        <w:rPr>
          <w:rFonts w:ascii="Arial" w:hAnsi="Arial"/>
          <w:color w:val="000000"/>
          <w:sz w:val="22"/>
          <w:szCs w:val="22"/>
        </w:rPr>
        <w:t>approvisionnement et l</w:t>
      </w:r>
      <w:r w:rsidR="0010447B">
        <w:rPr>
          <w:rFonts w:ascii="Arial" w:hAnsi="Arial"/>
          <w:color w:val="000000"/>
          <w:sz w:val="22"/>
          <w:szCs w:val="22"/>
        </w:rPr>
        <w:t>’</w:t>
      </w:r>
      <w:r w:rsidR="00495D4A">
        <w:rPr>
          <w:rFonts w:ascii="Arial" w:hAnsi="Arial"/>
          <w:color w:val="000000"/>
          <w:sz w:val="22"/>
          <w:szCs w:val="22"/>
        </w:rPr>
        <w:t xml:space="preserve">achat d’actions renforcent le partenariat entre Stellantis et Alliance Nickel </w:t>
      </w:r>
      <w:r w:rsidR="0010447B">
        <w:rPr>
          <w:rFonts w:ascii="Arial" w:hAnsi="Arial"/>
          <w:color w:val="000000"/>
          <w:sz w:val="22"/>
          <w:szCs w:val="22"/>
        </w:rPr>
        <w:t>initié</w:t>
      </w:r>
      <w:r w:rsidR="00A94D39">
        <w:rPr>
          <w:rFonts w:ascii="Arial" w:hAnsi="Arial"/>
          <w:color w:val="000000"/>
          <w:sz w:val="22"/>
          <w:szCs w:val="22"/>
        </w:rPr>
        <w:t xml:space="preserve"> </w:t>
      </w:r>
      <w:hyperlink r:id="rId12" w:history="1">
        <w:r w:rsidR="00A94D39">
          <w:rPr>
            <w:rStyle w:val="Hyperlink"/>
            <w:rFonts w:ascii="Arial" w:hAnsi="Arial"/>
            <w:sz w:val="22"/>
            <w:szCs w:val="22"/>
            <w:u w:val="single"/>
          </w:rPr>
          <w:t>en octobre 2022</w:t>
        </w:r>
      </w:hyperlink>
      <w:r w:rsidR="00495D4A">
        <w:rPr>
          <w:rFonts w:ascii="Arial" w:hAnsi="Arial"/>
          <w:color w:val="000000"/>
          <w:sz w:val="22"/>
          <w:szCs w:val="22"/>
        </w:rPr>
        <w:t xml:space="preserve"> par le biais d’un </w:t>
      </w:r>
      <w:r w:rsidR="0010447B">
        <w:rPr>
          <w:rFonts w:ascii="Arial" w:hAnsi="Arial"/>
          <w:color w:val="000000"/>
          <w:sz w:val="22"/>
          <w:szCs w:val="22"/>
        </w:rPr>
        <w:t>protocole d’enten</w:t>
      </w:r>
      <w:r>
        <w:rPr>
          <w:rFonts w:ascii="Arial" w:hAnsi="Arial"/>
          <w:color w:val="000000"/>
          <w:sz w:val="22"/>
          <w:szCs w:val="22"/>
        </w:rPr>
        <w:t>t</w:t>
      </w:r>
      <w:r w:rsidR="0010447B">
        <w:rPr>
          <w:rFonts w:ascii="Arial" w:hAnsi="Arial"/>
          <w:color w:val="000000"/>
          <w:sz w:val="22"/>
          <w:szCs w:val="22"/>
        </w:rPr>
        <w:t xml:space="preserve">e engageant </w:t>
      </w:r>
      <w:r>
        <w:rPr>
          <w:rFonts w:ascii="Arial" w:hAnsi="Arial"/>
          <w:color w:val="000000"/>
          <w:sz w:val="22"/>
          <w:szCs w:val="22"/>
        </w:rPr>
        <w:t xml:space="preserve">en vue de </w:t>
      </w:r>
      <w:r w:rsidR="00495D4A">
        <w:rPr>
          <w:rFonts w:ascii="Arial" w:hAnsi="Arial"/>
          <w:color w:val="000000"/>
          <w:sz w:val="22"/>
          <w:szCs w:val="22"/>
        </w:rPr>
        <w:t>l</w:t>
      </w:r>
      <w:r>
        <w:rPr>
          <w:rFonts w:ascii="Arial" w:hAnsi="Arial"/>
          <w:color w:val="000000"/>
          <w:sz w:val="22"/>
          <w:szCs w:val="22"/>
        </w:rPr>
        <w:t xml:space="preserve">a fourniture de </w:t>
      </w:r>
      <w:r w:rsidR="00495D4A">
        <w:rPr>
          <w:rFonts w:ascii="Arial" w:hAnsi="Arial"/>
          <w:color w:val="000000"/>
          <w:sz w:val="22"/>
          <w:szCs w:val="22"/>
        </w:rPr>
        <w:t xml:space="preserve">matières premières </w:t>
      </w:r>
      <w:r>
        <w:rPr>
          <w:rFonts w:ascii="Arial" w:hAnsi="Arial"/>
          <w:color w:val="000000"/>
          <w:sz w:val="22"/>
          <w:szCs w:val="22"/>
        </w:rPr>
        <w:t>pour les</w:t>
      </w:r>
      <w:r w:rsidR="00495D4A">
        <w:rPr>
          <w:rFonts w:ascii="Arial" w:hAnsi="Arial"/>
          <w:color w:val="000000"/>
          <w:sz w:val="22"/>
          <w:szCs w:val="22"/>
        </w:rPr>
        <w:t xml:space="preserve"> batteries des véhicules électriques.</w:t>
      </w:r>
    </w:p>
    <w:p w14:paraId="09F8C53F" w14:textId="2E69A650" w:rsidR="00495D4A" w:rsidRDefault="0001239C" w:rsidP="00C167C2">
      <w:pPr>
        <w:pBdr>
          <w:top w:val="nil"/>
          <w:left w:val="nil"/>
          <w:bottom w:val="nil"/>
          <w:right w:val="nil"/>
          <w:between w:val="nil"/>
        </w:pBdr>
        <w:rPr>
          <w:rFonts w:ascii="Arial" w:hAnsi="Arial"/>
          <w:color w:val="000000"/>
          <w:sz w:val="22"/>
          <w:szCs w:val="22"/>
        </w:rPr>
      </w:pPr>
      <w:r>
        <w:rPr>
          <w:rFonts w:ascii="Arial" w:hAnsi="Arial"/>
          <w:color w:val="000000"/>
          <w:sz w:val="22"/>
          <w:szCs w:val="22"/>
        </w:rPr>
        <w:t xml:space="preserve">Les fonds liés à l’achat de titres seront mis à disposition </w:t>
      </w:r>
      <w:r w:rsidR="00326642">
        <w:rPr>
          <w:rFonts w:ascii="Arial" w:hAnsi="Arial"/>
          <w:color w:val="000000"/>
          <w:sz w:val="22"/>
          <w:szCs w:val="22"/>
        </w:rPr>
        <w:t xml:space="preserve">une fois </w:t>
      </w:r>
      <w:r>
        <w:rPr>
          <w:rFonts w:ascii="Arial" w:hAnsi="Arial"/>
          <w:color w:val="000000"/>
          <w:sz w:val="22"/>
          <w:szCs w:val="22"/>
        </w:rPr>
        <w:t xml:space="preserve">l’étude de faisabilité définitive du projet </w:t>
      </w:r>
      <w:proofErr w:type="spellStart"/>
      <w:r>
        <w:rPr>
          <w:rFonts w:ascii="Arial" w:hAnsi="Arial"/>
          <w:color w:val="000000"/>
          <w:sz w:val="22"/>
          <w:szCs w:val="22"/>
        </w:rPr>
        <w:t>NiWest</w:t>
      </w:r>
      <w:proofErr w:type="spellEnd"/>
      <w:r>
        <w:rPr>
          <w:rFonts w:ascii="Arial" w:hAnsi="Arial"/>
          <w:color w:val="000000"/>
          <w:sz w:val="22"/>
          <w:szCs w:val="22"/>
        </w:rPr>
        <w:t xml:space="preserve"> </w:t>
      </w:r>
      <w:r w:rsidR="00326642">
        <w:rPr>
          <w:rFonts w:ascii="Arial" w:hAnsi="Arial"/>
          <w:color w:val="000000"/>
          <w:sz w:val="22"/>
          <w:szCs w:val="22"/>
        </w:rPr>
        <w:t xml:space="preserve">achevée et la fin des </w:t>
      </w:r>
      <w:r>
        <w:rPr>
          <w:rFonts w:ascii="Arial" w:hAnsi="Arial"/>
          <w:color w:val="000000"/>
          <w:sz w:val="22"/>
          <w:szCs w:val="22"/>
        </w:rPr>
        <w:t>travaux de conception technique, prévu</w:t>
      </w:r>
      <w:r w:rsidR="00326642">
        <w:rPr>
          <w:rFonts w:ascii="Arial" w:hAnsi="Arial"/>
          <w:color w:val="000000"/>
          <w:sz w:val="22"/>
          <w:szCs w:val="22"/>
        </w:rPr>
        <w:t>es</w:t>
      </w:r>
      <w:r>
        <w:rPr>
          <w:rFonts w:ascii="Arial" w:hAnsi="Arial"/>
          <w:color w:val="000000"/>
          <w:sz w:val="22"/>
          <w:szCs w:val="22"/>
        </w:rPr>
        <w:t xml:space="preserve"> pour le dernier trimestre 2023</w:t>
      </w:r>
      <w:r w:rsidR="00C15AD1">
        <w:rPr>
          <w:rFonts w:ascii="Arial" w:hAnsi="Arial"/>
          <w:color w:val="000000"/>
          <w:sz w:val="22"/>
          <w:szCs w:val="22"/>
        </w:rPr>
        <w:t xml:space="preserve">. </w:t>
      </w:r>
    </w:p>
    <w:p w14:paraId="7CFAA2A2" w14:textId="5B841436" w:rsidR="00103441" w:rsidRDefault="00044E26" w:rsidP="00C167C2">
      <w:pPr>
        <w:pBdr>
          <w:top w:val="nil"/>
          <w:left w:val="nil"/>
          <w:bottom w:val="nil"/>
          <w:right w:val="nil"/>
          <w:between w:val="nil"/>
        </w:pBdr>
        <w:rPr>
          <w:rFonts w:ascii="Arial" w:hAnsi="Arial"/>
          <w:color w:val="000000"/>
          <w:sz w:val="22"/>
          <w:szCs w:val="22"/>
        </w:rPr>
      </w:pPr>
      <w:r>
        <w:rPr>
          <w:rFonts w:ascii="Arial" w:hAnsi="Arial"/>
          <w:color w:val="000000"/>
          <w:sz w:val="22"/>
          <w:szCs w:val="22"/>
        </w:rPr>
        <w:t xml:space="preserve">Dans le cadre de son Plan Stratégique </w:t>
      </w:r>
      <w:hyperlink r:id="rId13" w:history="1">
        <w:r>
          <w:rPr>
            <w:rStyle w:val="Hyperlink"/>
            <w:rFonts w:ascii="Arial" w:hAnsi="Arial"/>
            <w:sz w:val="22"/>
            <w:szCs w:val="22"/>
            <w:u w:val="single"/>
          </w:rPr>
          <w:t xml:space="preserve">Dare </w:t>
        </w:r>
        <w:proofErr w:type="spellStart"/>
        <w:r>
          <w:rPr>
            <w:rStyle w:val="Hyperlink"/>
            <w:rFonts w:ascii="Arial" w:hAnsi="Arial"/>
            <w:sz w:val="22"/>
            <w:szCs w:val="22"/>
            <w:u w:val="single"/>
          </w:rPr>
          <w:t>Forward</w:t>
        </w:r>
        <w:proofErr w:type="spellEnd"/>
        <w:r>
          <w:rPr>
            <w:rStyle w:val="Hyperlink"/>
            <w:rFonts w:ascii="Arial" w:hAnsi="Arial"/>
            <w:sz w:val="22"/>
            <w:szCs w:val="22"/>
            <w:u w:val="single"/>
          </w:rPr>
          <w:t> 2030</w:t>
        </w:r>
      </w:hyperlink>
      <w:r>
        <w:rPr>
          <w:rFonts w:ascii="Arial" w:hAnsi="Arial"/>
          <w:color w:val="000000"/>
          <w:sz w:val="22"/>
          <w:szCs w:val="22"/>
        </w:rPr>
        <w:t xml:space="preserve">, </w:t>
      </w:r>
      <w:proofErr w:type="spellStart"/>
      <w:r>
        <w:rPr>
          <w:rFonts w:ascii="Arial" w:hAnsi="Arial"/>
          <w:color w:val="000000"/>
          <w:sz w:val="22"/>
          <w:szCs w:val="22"/>
        </w:rPr>
        <w:t>Stellantis</w:t>
      </w:r>
      <w:proofErr w:type="spellEnd"/>
      <w:r>
        <w:rPr>
          <w:rFonts w:ascii="Arial" w:hAnsi="Arial"/>
          <w:color w:val="000000"/>
          <w:sz w:val="22"/>
          <w:szCs w:val="22"/>
        </w:rPr>
        <w:t xml:space="preserve"> a annoncé son intention d’atteindre 100 % des ventes de véhicules électriques (BEV) pour les voitures particulières en Europe et 50 % des ventes de BEV pour les voitures particulières et les </w:t>
      </w:r>
      <w:proofErr w:type="spellStart"/>
      <w:r>
        <w:rPr>
          <w:rFonts w:ascii="Arial" w:hAnsi="Arial"/>
          <w:color w:val="000000"/>
          <w:sz w:val="22"/>
          <w:szCs w:val="22"/>
        </w:rPr>
        <w:t>pick</w:t>
      </w:r>
      <w:proofErr w:type="spellEnd"/>
      <w:r>
        <w:rPr>
          <w:rFonts w:ascii="Arial" w:hAnsi="Arial"/>
          <w:color w:val="000000"/>
          <w:sz w:val="22"/>
          <w:szCs w:val="22"/>
        </w:rPr>
        <w:t xml:space="preserve"> up aux États-Unis d’ici 2030. Stellantis prévoit de diviser par deux ses émissions de CO</w:t>
      </w:r>
      <w:r w:rsidRPr="00C167C2">
        <w:rPr>
          <w:rFonts w:ascii="Arial" w:hAnsi="Arial"/>
          <w:color w:val="000000"/>
          <w:sz w:val="22"/>
          <w:szCs w:val="22"/>
          <w:vertAlign w:val="subscript"/>
        </w:rPr>
        <w:t>2</w:t>
      </w:r>
      <w:r>
        <w:rPr>
          <w:rFonts w:ascii="Arial" w:hAnsi="Arial"/>
          <w:color w:val="000000"/>
          <w:sz w:val="22"/>
          <w:szCs w:val="22"/>
        </w:rPr>
        <w:t xml:space="preserve"> d’ici 2030, </w:t>
      </w:r>
      <w:r w:rsidR="00E100EF">
        <w:rPr>
          <w:rFonts w:ascii="Arial" w:hAnsi="Arial"/>
          <w:color w:val="000000"/>
          <w:sz w:val="22"/>
          <w:szCs w:val="22"/>
        </w:rPr>
        <w:t>par rapport à</w:t>
      </w:r>
      <w:r>
        <w:rPr>
          <w:rFonts w:ascii="Arial" w:hAnsi="Arial"/>
          <w:color w:val="000000"/>
          <w:sz w:val="22"/>
          <w:szCs w:val="22"/>
        </w:rPr>
        <w:t xml:space="preserve"> 2021, et d’atteindre la neutralité carbone d’ici 2038, avec un pourcentage de compensation des émissions </w:t>
      </w:r>
      <w:r w:rsidR="008B3E6B">
        <w:rPr>
          <w:rFonts w:ascii="Arial" w:hAnsi="Arial"/>
          <w:color w:val="000000"/>
          <w:sz w:val="22"/>
          <w:szCs w:val="22"/>
        </w:rPr>
        <w:t>restantes</w:t>
      </w:r>
      <w:r>
        <w:rPr>
          <w:rFonts w:ascii="Arial" w:hAnsi="Arial"/>
          <w:color w:val="000000"/>
          <w:sz w:val="22"/>
          <w:szCs w:val="22"/>
        </w:rPr>
        <w:t xml:space="preserve"> à un seul chiffre. </w:t>
      </w:r>
    </w:p>
    <w:p w14:paraId="27B3C240" w14:textId="428F98CD" w:rsidR="00FD3C15" w:rsidRDefault="00044E26" w:rsidP="00C167C2">
      <w:pPr>
        <w:pBdr>
          <w:top w:val="nil"/>
          <w:left w:val="nil"/>
          <w:bottom w:val="nil"/>
          <w:right w:val="nil"/>
          <w:between w:val="nil"/>
        </w:pBdr>
        <w:rPr>
          <w:rFonts w:ascii="Arial" w:hAnsi="Arial"/>
          <w:color w:val="000000"/>
          <w:sz w:val="22"/>
          <w:szCs w:val="22"/>
        </w:rPr>
      </w:pPr>
      <w:r>
        <w:rPr>
          <w:rFonts w:ascii="Arial" w:hAnsi="Arial"/>
          <w:color w:val="000000"/>
          <w:sz w:val="22"/>
          <w:szCs w:val="22"/>
        </w:rPr>
        <w:t>La conclusion de</w:t>
      </w:r>
      <w:r w:rsidR="008B3E6B">
        <w:rPr>
          <w:rFonts w:ascii="Arial" w:hAnsi="Arial"/>
          <w:color w:val="000000"/>
          <w:sz w:val="22"/>
          <w:szCs w:val="22"/>
        </w:rPr>
        <w:t xml:space="preserve">s </w:t>
      </w:r>
      <w:r>
        <w:rPr>
          <w:rFonts w:ascii="Arial" w:hAnsi="Arial"/>
          <w:color w:val="000000"/>
          <w:sz w:val="22"/>
          <w:szCs w:val="22"/>
        </w:rPr>
        <w:t>accord</w:t>
      </w:r>
      <w:r w:rsidR="008B3E6B">
        <w:rPr>
          <w:rFonts w:ascii="Arial" w:hAnsi="Arial"/>
          <w:color w:val="000000"/>
          <w:sz w:val="22"/>
          <w:szCs w:val="22"/>
        </w:rPr>
        <w:t>s</w:t>
      </w:r>
      <w:r>
        <w:rPr>
          <w:rFonts w:ascii="Arial" w:hAnsi="Arial"/>
          <w:color w:val="000000"/>
          <w:sz w:val="22"/>
          <w:szCs w:val="22"/>
        </w:rPr>
        <w:t xml:space="preserve"> </w:t>
      </w:r>
      <w:r w:rsidR="00E100EF">
        <w:rPr>
          <w:rFonts w:ascii="Arial" w:hAnsi="Arial"/>
          <w:color w:val="000000"/>
          <w:sz w:val="22"/>
          <w:szCs w:val="22"/>
        </w:rPr>
        <w:t>engag</w:t>
      </w:r>
      <w:r w:rsidR="008B3E6B">
        <w:rPr>
          <w:rFonts w:ascii="Arial" w:hAnsi="Arial"/>
          <w:color w:val="000000"/>
          <w:sz w:val="22"/>
          <w:szCs w:val="22"/>
        </w:rPr>
        <w:t>e</w:t>
      </w:r>
      <w:r w:rsidR="00E100EF">
        <w:rPr>
          <w:rFonts w:ascii="Arial" w:hAnsi="Arial"/>
          <w:color w:val="000000"/>
          <w:sz w:val="22"/>
          <w:szCs w:val="22"/>
        </w:rPr>
        <w:t>ant</w:t>
      </w:r>
      <w:r w:rsidR="008B3E6B">
        <w:rPr>
          <w:rFonts w:ascii="Arial" w:hAnsi="Arial"/>
          <w:color w:val="000000"/>
          <w:sz w:val="22"/>
          <w:szCs w:val="22"/>
        </w:rPr>
        <w:t>s</w:t>
      </w:r>
      <w:r w:rsidR="00E100EF">
        <w:rPr>
          <w:rFonts w:ascii="Arial" w:hAnsi="Arial"/>
          <w:color w:val="000000"/>
          <w:sz w:val="22"/>
          <w:szCs w:val="22"/>
        </w:rPr>
        <w:t xml:space="preserve"> </w:t>
      </w:r>
      <w:r>
        <w:rPr>
          <w:rFonts w:ascii="Arial" w:hAnsi="Arial"/>
          <w:color w:val="000000"/>
          <w:sz w:val="22"/>
          <w:szCs w:val="22"/>
        </w:rPr>
        <w:t xml:space="preserve">d’approvisionnement et </w:t>
      </w:r>
      <w:r w:rsidR="008B3E6B">
        <w:rPr>
          <w:rFonts w:ascii="Arial" w:hAnsi="Arial"/>
          <w:color w:val="000000"/>
          <w:sz w:val="22"/>
          <w:szCs w:val="22"/>
        </w:rPr>
        <w:t xml:space="preserve">de souscription </w:t>
      </w:r>
      <w:r>
        <w:rPr>
          <w:rFonts w:ascii="Arial" w:hAnsi="Arial"/>
          <w:color w:val="000000"/>
          <w:sz w:val="22"/>
          <w:szCs w:val="22"/>
        </w:rPr>
        <w:t>d’actions est soumise aux conditions suspensives habituelles, notamment aux approbations réglementaires.</w:t>
      </w:r>
    </w:p>
    <w:p w14:paraId="362FEC37" w14:textId="246A7080" w:rsidR="00044E26" w:rsidRDefault="00FD3C15" w:rsidP="00C167C2">
      <w:pPr>
        <w:pBdr>
          <w:top w:val="nil"/>
          <w:left w:val="nil"/>
          <w:bottom w:val="nil"/>
          <w:right w:val="nil"/>
          <w:between w:val="nil"/>
        </w:pBdr>
        <w:rPr>
          <w:rFonts w:ascii="Arial" w:hAnsi="Arial"/>
          <w:color w:val="000000"/>
          <w:sz w:val="22"/>
          <w:szCs w:val="22"/>
        </w:rPr>
      </w:pPr>
      <w:r>
        <w:rPr>
          <w:rFonts w:ascii="Arial" w:hAnsi="Arial"/>
          <w:color w:val="000000"/>
          <w:sz w:val="22"/>
          <w:szCs w:val="22"/>
        </w:rPr>
        <w:t xml:space="preserve">Stellantis </w:t>
      </w:r>
      <w:r w:rsidR="008B3E6B">
        <w:rPr>
          <w:rFonts w:ascii="Arial" w:hAnsi="Arial"/>
          <w:color w:val="000000"/>
          <w:sz w:val="22"/>
          <w:szCs w:val="22"/>
        </w:rPr>
        <w:t xml:space="preserve">est en train de constituer </w:t>
      </w:r>
      <w:r>
        <w:rPr>
          <w:rFonts w:ascii="Arial" w:hAnsi="Arial"/>
          <w:color w:val="000000"/>
          <w:sz w:val="22"/>
          <w:szCs w:val="22"/>
        </w:rPr>
        <w:t xml:space="preserve">un panel de partenaires </w:t>
      </w:r>
      <w:r w:rsidRPr="008B3E6B">
        <w:rPr>
          <w:rFonts w:ascii="Arial" w:hAnsi="Arial"/>
          <w:color w:val="000000"/>
          <w:sz w:val="22"/>
          <w:szCs w:val="22"/>
        </w:rPr>
        <w:t>clés afin d</w:t>
      </w:r>
      <w:r w:rsidR="008B3E6B" w:rsidRPr="00C167C2">
        <w:rPr>
          <w:rFonts w:ascii="Arial" w:hAnsi="Arial"/>
          <w:color w:val="000000"/>
          <w:sz w:val="22"/>
          <w:szCs w:val="22"/>
        </w:rPr>
        <w:t xml:space="preserve">’assurer un </w:t>
      </w:r>
      <w:r w:rsidRPr="008B3E6B">
        <w:rPr>
          <w:rFonts w:ascii="Arial" w:hAnsi="Arial"/>
          <w:color w:val="000000"/>
          <w:sz w:val="22"/>
          <w:szCs w:val="22"/>
        </w:rPr>
        <w:t xml:space="preserve">approvisionnement </w:t>
      </w:r>
      <w:r w:rsidR="008B3E6B" w:rsidRPr="00C167C2">
        <w:rPr>
          <w:rFonts w:ascii="Arial" w:hAnsi="Arial"/>
          <w:color w:val="000000"/>
          <w:sz w:val="22"/>
          <w:szCs w:val="22"/>
        </w:rPr>
        <w:t xml:space="preserve">stable </w:t>
      </w:r>
      <w:r w:rsidRPr="008B3E6B">
        <w:rPr>
          <w:rFonts w:ascii="Arial" w:hAnsi="Arial"/>
          <w:color w:val="000000"/>
          <w:sz w:val="22"/>
          <w:szCs w:val="22"/>
        </w:rPr>
        <w:t>en mat</w:t>
      </w:r>
      <w:r w:rsidR="008B3E6B" w:rsidRPr="00C167C2">
        <w:rPr>
          <w:rFonts w:ascii="Arial" w:hAnsi="Arial"/>
          <w:color w:val="000000"/>
          <w:sz w:val="22"/>
          <w:szCs w:val="22"/>
        </w:rPr>
        <w:t>é</w:t>
      </w:r>
      <w:r w:rsidRPr="008B3E6B">
        <w:rPr>
          <w:rFonts w:ascii="Arial" w:hAnsi="Arial"/>
          <w:color w:val="000000"/>
          <w:sz w:val="22"/>
          <w:szCs w:val="22"/>
        </w:rPr>
        <w:t>r</w:t>
      </w:r>
      <w:r w:rsidR="008B3E6B" w:rsidRPr="00C167C2">
        <w:rPr>
          <w:rFonts w:ascii="Arial" w:hAnsi="Arial"/>
          <w:color w:val="000000"/>
          <w:sz w:val="22"/>
          <w:szCs w:val="22"/>
        </w:rPr>
        <w:t xml:space="preserve">iaux </w:t>
      </w:r>
      <w:r w:rsidRPr="008B3E6B">
        <w:rPr>
          <w:rFonts w:ascii="Arial" w:hAnsi="Arial"/>
          <w:color w:val="000000"/>
          <w:sz w:val="22"/>
          <w:szCs w:val="22"/>
        </w:rPr>
        <w:t xml:space="preserve">essentiels </w:t>
      </w:r>
      <w:r w:rsidR="008B3E6B" w:rsidRPr="00C167C2">
        <w:rPr>
          <w:rFonts w:ascii="Arial" w:hAnsi="Arial"/>
          <w:color w:val="000000"/>
          <w:sz w:val="22"/>
          <w:szCs w:val="22"/>
        </w:rPr>
        <w:t xml:space="preserve">pour </w:t>
      </w:r>
      <w:r w:rsidRPr="008B3E6B">
        <w:rPr>
          <w:rFonts w:ascii="Arial" w:hAnsi="Arial"/>
          <w:color w:val="000000"/>
          <w:sz w:val="22"/>
          <w:szCs w:val="22"/>
        </w:rPr>
        <w:t>son avenir électrifié.</w:t>
      </w:r>
      <w:r>
        <w:rPr>
          <w:rFonts w:ascii="Arial" w:hAnsi="Arial"/>
          <w:color w:val="000000"/>
          <w:sz w:val="22"/>
          <w:szCs w:val="22"/>
        </w:rPr>
        <w:t xml:space="preserve"> Outre son accord avec Alliance Nickel, Stellantis a conclu des partenariats avec </w:t>
      </w:r>
      <w:hyperlink r:id="rId14" w:history="1">
        <w:r>
          <w:rPr>
            <w:rStyle w:val="Hyperlink"/>
            <w:rFonts w:ascii="Arial" w:hAnsi="Arial"/>
            <w:sz w:val="22"/>
            <w:szCs w:val="22"/>
            <w:u w:val="single"/>
          </w:rPr>
          <w:t>McEwen Copper</w:t>
        </w:r>
      </w:hyperlink>
      <w:r>
        <w:rPr>
          <w:rFonts w:ascii="Arial" w:hAnsi="Arial"/>
          <w:color w:val="000000"/>
          <w:sz w:val="22"/>
          <w:szCs w:val="22"/>
        </w:rPr>
        <w:t xml:space="preserve">, </w:t>
      </w:r>
      <w:hyperlink r:id="rId15" w:history="1">
        <w:proofErr w:type="spellStart"/>
        <w:r>
          <w:rPr>
            <w:rStyle w:val="Hyperlink"/>
            <w:rFonts w:ascii="Arial" w:hAnsi="Arial"/>
            <w:sz w:val="22"/>
            <w:szCs w:val="22"/>
            <w:u w:val="single"/>
          </w:rPr>
          <w:t>Terrafame</w:t>
        </w:r>
        <w:proofErr w:type="spellEnd"/>
      </w:hyperlink>
      <w:r>
        <w:rPr>
          <w:rFonts w:ascii="Arial" w:hAnsi="Arial"/>
          <w:color w:val="000000"/>
          <w:sz w:val="22"/>
          <w:szCs w:val="22"/>
        </w:rPr>
        <w:t xml:space="preserve">, </w:t>
      </w:r>
      <w:hyperlink r:id="rId16" w:history="1">
        <w:r>
          <w:rPr>
            <w:rStyle w:val="Hyperlink"/>
            <w:rFonts w:ascii="Arial" w:hAnsi="Arial"/>
            <w:sz w:val="22"/>
            <w:szCs w:val="22"/>
            <w:u w:val="single"/>
          </w:rPr>
          <w:t>Vulcan Energy</w:t>
        </w:r>
      </w:hyperlink>
      <w:r>
        <w:rPr>
          <w:rFonts w:ascii="Arial" w:hAnsi="Arial"/>
          <w:color w:val="000000"/>
          <w:sz w:val="22"/>
          <w:szCs w:val="22"/>
        </w:rPr>
        <w:t xml:space="preserve">, </w:t>
      </w:r>
      <w:hyperlink r:id="rId17" w:history="1">
        <w:proofErr w:type="spellStart"/>
        <w:r>
          <w:rPr>
            <w:rStyle w:val="Hyperlink"/>
            <w:rFonts w:ascii="Arial" w:hAnsi="Arial"/>
            <w:sz w:val="22"/>
            <w:szCs w:val="22"/>
            <w:u w:val="single"/>
          </w:rPr>
          <w:t>Element</w:t>
        </w:r>
        <w:proofErr w:type="spellEnd"/>
        <w:r>
          <w:rPr>
            <w:rStyle w:val="Hyperlink"/>
            <w:rFonts w:ascii="Arial" w:hAnsi="Arial"/>
            <w:sz w:val="22"/>
            <w:szCs w:val="22"/>
            <w:u w:val="single"/>
          </w:rPr>
          <w:t xml:space="preserve"> 25</w:t>
        </w:r>
      </w:hyperlink>
      <w:r>
        <w:rPr>
          <w:rFonts w:ascii="Arial" w:hAnsi="Arial"/>
          <w:color w:val="000000"/>
          <w:sz w:val="22"/>
          <w:szCs w:val="22"/>
        </w:rPr>
        <w:t xml:space="preserve"> et </w:t>
      </w:r>
      <w:hyperlink r:id="rId18" w:history="1">
        <w:proofErr w:type="spellStart"/>
        <w:r>
          <w:rPr>
            <w:rStyle w:val="Hyperlink"/>
            <w:rFonts w:ascii="Arial" w:hAnsi="Arial"/>
            <w:sz w:val="22"/>
            <w:szCs w:val="22"/>
            <w:u w:val="single"/>
          </w:rPr>
          <w:t>Controlled</w:t>
        </w:r>
        <w:proofErr w:type="spellEnd"/>
        <w:r>
          <w:rPr>
            <w:rStyle w:val="Hyperlink"/>
            <w:rFonts w:ascii="Arial" w:hAnsi="Arial"/>
            <w:sz w:val="22"/>
            <w:szCs w:val="22"/>
            <w:u w:val="single"/>
          </w:rPr>
          <w:t xml:space="preserve"> Thermal </w:t>
        </w:r>
        <w:proofErr w:type="spellStart"/>
        <w:r>
          <w:rPr>
            <w:rStyle w:val="Hyperlink"/>
            <w:rFonts w:ascii="Arial" w:hAnsi="Arial"/>
            <w:sz w:val="22"/>
            <w:szCs w:val="22"/>
            <w:u w:val="single"/>
          </w:rPr>
          <w:t>Resources</w:t>
        </w:r>
        <w:proofErr w:type="spellEnd"/>
      </w:hyperlink>
      <w:r>
        <w:rPr>
          <w:rFonts w:ascii="Arial" w:hAnsi="Arial"/>
          <w:color w:val="000000"/>
          <w:sz w:val="22"/>
          <w:szCs w:val="22"/>
        </w:rPr>
        <w:t xml:space="preserve">. </w:t>
      </w:r>
    </w:p>
    <w:p w14:paraId="114D514C" w14:textId="28A8D6E6" w:rsidR="004112A2" w:rsidRDefault="007F0624" w:rsidP="00112372">
      <w:pPr>
        <w:jc w:val="center"/>
        <w:rPr>
          <w:rFonts w:ascii="Arial" w:eastAsia="Encode Sans" w:hAnsi="Arial" w:cs="Arial"/>
          <w:sz w:val="22"/>
          <w:szCs w:val="22"/>
        </w:rPr>
      </w:pPr>
      <w:r>
        <w:rPr>
          <w:rFonts w:ascii="Arial" w:hAnsi="Arial"/>
          <w:sz w:val="22"/>
          <w:szCs w:val="22"/>
        </w:rPr>
        <w:t># # #</w:t>
      </w:r>
      <w:bookmarkStart w:id="0" w:name="_Hlk106354158"/>
    </w:p>
    <w:p w14:paraId="7048F5D7" w14:textId="77777777" w:rsidR="00112372" w:rsidRPr="00112372" w:rsidRDefault="00112372" w:rsidP="00112372">
      <w:pPr>
        <w:jc w:val="center"/>
        <w:rPr>
          <w:rFonts w:ascii="Arial" w:eastAsia="Encode Sans" w:hAnsi="Arial" w:cs="Arial"/>
          <w:sz w:val="22"/>
          <w:szCs w:val="22"/>
        </w:rPr>
      </w:pPr>
    </w:p>
    <w:p w14:paraId="5E347E17" w14:textId="77777777" w:rsidR="00211BDA" w:rsidRPr="0058020B" w:rsidRDefault="00211BDA" w:rsidP="00E653B0">
      <w:pPr>
        <w:spacing w:after="0"/>
        <w:rPr>
          <w:rFonts w:ascii="Arial" w:eastAsia="Times New Roman" w:hAnsi="Arial" w:cs="Arial"/>
          <w:b/>
          <w:bCs/>
          <w:sz w:val="20"/>
          <w:szCs w:val="20"/>
        </w:rPr>
      </w:pPr>
      <w:r>
        <w:rPr>
          <w:rFonts w:ascii="Arial" w:hAnsi="Arial"/>
          <w:b/>
          <w:bCs/>
          <w:sz w:val="20"/>
          <w:szCs w:val="20"/>
        </w:rPr>
        <w:t>À propos de Stellantis</w:t>
      </w:r>
    </w:p>
    <w:bookmarkEnd w:id="0"/>
    <w:p w14:paraId="1ED61C03" w14:textId="77777777" w:rsidR="009D782E" w:rsidRPr="0058020B" w:rsidRDefault="00C87382" w:rsidP="00C167C2">
      <w:pPr>
        <w:pBdr>
          <w:top w:val="nil"/>
          <w:left w:val="nil"/>
          <w:bottom w:val="nil"/>
          <w:right w:val="nil"/>
          <w:between w:val="nil"/>
        </w:pBdr>
        <w:spacing w:after="0"/>
        <w:rPr>
          <w:rFonts w:ascii="Arial" w:eastAsia="Arial" w:hAnsi="Arial" w:cs="Arial"/>
          <w:iCs/>
          <w:color w:val="000000"/>
          <w:sz w:val="20"/>
          <w:szCs w:val="20"/>
        </w:rPr>
      </w:pPr>
      <w:r>
        <w:rPr>
          <w:rFonts w:ascii="Arial" w:hAnsi="Arial"/>
          <w:i/>
          <w:iCs/>
          <w:sz w:val="20"/>
          <w:szCs w:val="20"/>
        </w:rPr>
        <w:t xml:space="preserve">Stellantis N.V. (NYSE : STLA / Euronext Milan : STLAM / Euronext Paris : STLAP) fait partie des principaux constructeurs automobiles et fournisseurs de services de mobilité internationaux. </w:t>
      </w:r>
      <w:proofErr w:type="spellStart"/>
      <w:r>
        <w:rPr>
          <w:rFonts w:ascii="Arial" w:hAnsi="Arial"/>
          <w:i/>
          <w:iCs/>
          <w:sz w:val="20"/>
          <w:szCs w:val="20"/>
        </w:rPr>
        <w:t>Abarth</w:t>
      </w:r>
      <w:proofErr w:type="spellEnd"/>
      <w:r>
        <w:rPr>
          <w:rFonts w:ascii="Arial" w:hAnsi="Arial"/>
          <w:i/>
          <w:iCs/>
          <w:sz w:val="20"/>
          <w:szCs w:val="20"/>
        </w:rPr>
        <w:t xml:space="preserve">,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Pr>
          <w:rFonts w:ascii="Arial" w:hAnsi="Arial"/>
          <w:i/>
          <w:iCs/>
          <w:sz w:val="20"/>
          <w:szCs w:val="20"/>
        </w:rPr>
        <w:t>company</w:t>
      </w:r>
      <w:proofErr w:type="spellEnd"/>
      <w:r>
        <w:rPr>
          <w:rFonts w:ascii="Arial" w:hAnsi="Arial"/>
          <w:i/>
          <w:iCs/>
          <w:sz w:val="20"/>
          <w:szCs w:val="20"/>
        </w:rPr>
        <w:t xml:space="preserve"> de mobilité durable, en termes de qualité et non de taille, tout en créant encore plus de valeur pour l’ensemble de nos partenaires et des communautés au sein desquelles nous opérons. Pour en savoir plus, www.stellantis.com.</w:t>
      </w:r>
    </w:p>
    <w:p w14:paraId="16FD68E6" w14:textId="77777777" w:rsidR="00C87382" w:rsidRPr="00212BB4" w:rsidRDefault="00C87382" w:rsidP="005C533B">
      <w:pPr>
        <w:spacing w:after="0"/>
        <w:jc w:val="left"/>
        <w:rPr>
          <w:rFonts w:ascii="Arial" w:eastAsia="Times New Roman" w:hAnsi="Arial" w:cs="Arial"/>
          <w:b/>
          <w:bCs/>
          <w:sz w:val="20"/>
          <w:szCs w:val="20"/>
        </w:rPr>
      </w:pPr>
    </w:p>
    <w:p w14:paraId="12ADEFD0" w14:textId="77777777" w:rsidR="005C533B" w:rsidRPr="0058020B" w:rsidRDefault="005C533B" w:rsidP="005C533B">
      <w:pPr>
        <w:spacing w:after="0"/>
        <w:jc w:val="left"/>
        <w:rPr>
          <w:rFonts w:ascii="Arial" w:eastAsia="Times New Roman" w:hAnsi="Arial" w:cs="Arial"/>
          <w:b/>
          <w:bCs/>
          <w:sz w:val="20"/>
          <w:szCs w:val="20"/>
        </w:rPr>
      </w:pPr>
      <w:r>
        <w:rPr>
          <w:rFonts w:ascii="Arial" w:hAnsi="Arial"/>
          <w:b/>
          <w:bCs/>
          <w:sz w:val="20"/>
          <w:szCs w:val="20"/>
        </w:rPr>
        <w:t>À propos d’Alliance Nickel Limited</w:t>
      </w:r>
    </w:p>
    <w:p w14:paraId="35D5B124" w14:textId="19D6D222" w:rsidR="005C533B" w:rsidRPr="0058020B" w:rsidRDefault="005C533B" w:rsidP="00C167C2">
      <w:pPr>
        <w:spacing w:after="0"/>
        <w:rPr>
          <w:rFonts w:ascii="Arial" w:eastAsia="Times New Roman" w:hAnsi="Arial" w:cs="Arial"/>
          <w:sz w:val="20"/>
          <w:szCs w:val="20"/>
        </w:rPr>
      </w:pPr>
      <w:r>
        <w:rPr>
          <w:rFonts w:ascii="Arial" w:hAnsi="Arial"/>
          <w:sz w:val="20"/>
          <w:szCs w:val="20"/>
        </w:rPr>
        <w:t xml:space="preserve">Alliance Nickel Limited est une société d’exploration et de développement cotée sur ASX qui possède des intérêts dans le nickel et les minéraux critiques. Le principal actif de la société est son projet </w:t>
      </w:r>
      <w:proofErr w:type="spellStart"/>
      <w:r>
        <w:rPr>
          <w:rFonts w:ascii="Arial" w:hAnsi="Arial"/>
          <w:sz w:val="20"/>
          <w:szCs w:val="20"/>
        </w:rPr>
        <w:t>NiWest</w:t>
      </w:r>
      <w:proofErr w:type="spellEnd"/>
      <w:r>
        <w:rPr>
          <w:rFonts w:ascii="Arial" w:hAnsi="Arial"/>
          <w:sz w:val="20"/>
          <w:szCs w:val="20"/>
        </w:rPr>
        <w:t xml:space="preserve"> Nickel Cobalt, détenu à 100 %, qui abrite l’une des exploitations australiennes non développées possédant la plus forte teneur en latérite de nickel en Australie. Idéalement situé à côté des opérations Murrin </w:t>
      </w:r>
      <w:proofErr w:type="spellStart"/>
      <w:r>
        <w:rPr>
          <w:rFonts w:ascii="Arial" w:hAnsi="Arial"/>
          <w:sz w:val="20"/>
          <w:szCs w:val="20"/>
        </w:rPr>
        <w:t>Murrin</w:t>
      </w:r>
      <w:proofErr w:type="spellEnd"/>
      <w:r>
        <w:rPr>
          <w:rFonts w:ascii="Arial" w:hAnsi="Arial"/>
          <w:sz w:val="20"/>
          <w:szCs w:val="20"/>
        </w:rPr>
        <w:t xml:space="preserve"> de </w:t>
      </w:r>
      <w:proofErr w:type="spellStart"/>
      <w:r>
        <w:rPr>
          <w:rFonts w:ascii="Arial" w:hAnsi="Arial"/>
          <w:sz w:val="20"/>
          <w:szCs w:val="20"/>
        </w:rPr>
        <w:t>Glencore</w:t>
      </w:r>
      <w:proofErr w:type="spellEnd"/>
      <w:r>
        <w:rPr>
          <w:rFonts w:ascii="Arial" w:hAnsi="Arial"/>
          <w:sz w:val="20"/>
          <w:szCs w:val="20"/>
        </w:rPr>
        <w:t xml:space="preserve">, le projet a accès aux infrastructures minières existantes, tel qu’un réseau routier, un chemin de fer et un gazoduc. La société a initié une étude de faisabilité qui a confirmé la viabilité technique et économique d’une opération d’extraction directe par solvant et lixiviation, permettant de produire à bas prix du sulfate de nickel et de cobalt de classe 1 de </w:t>
      </w:r>
      <w:r w:rsidR="004112A2">
        <w:rPr>
          <w:rFonts w:ascii="Arial" w:hAnsi="Arial"/>
          <w:sz w:val="20"/>
          <w:szCs w:val="20"/>
        </w:rPr>
        <w:t>première qualité destinée</w:t>
      </w:r>
      <w:r>
        <w:rPr>
          <w:rFonts w:ascii="Arial" w:hAnsi="Arial"/>
          <w:sz w:val="20"/>
          <w:szCs w:val="20"/>
        </w:rPr>
        <w:t xml:space="preserve"> aux fabricants de batteries et aux constructeurs automobiles commercialisant des véhicules électriques. </w:t>
      </w:r>
    </w:p>
    <w:p w14:paraId="61F97CDB" w14:textId="77777777" w:rsidR="005C533B" w:rsidRPr="00424771" w:rsidRDefault="005C533B" w:rsidP="005C533B">
      <w:pPr>
        <w:spacing w:after="0"/>
        <w:jc w:val="left"/>
        <w:rPr>
          <w:rFonts w:ascii="Arial" w:eastAsia="Times New Roman" w:hAnsi="Arial" w:cs="Arial"/>
          <w:sz w:val="22"/>
          <w:szCs w:val="22"/>
        </w:rPr>
      </w:pPr>
    </w:p>
    <w:p w14:paraId="3B37C20A" w14:textId="77777777" w:rsidR="00DF61C4" w:rsidRPr="00FA15B0" w:rsidRDefault="005C533B" w:rsidP="005C533B">
      <w:pPr>
        <w:spacing w:after="0"/>
        <w:jc w:val="left"/>
        <w:rPr>
          <w:rFonts w:ascii="Arial" w:eastAsia="Times New Roman" w:hAnsi="Arial" w:cs="Arial"/>
          <w:sz w:val="20"/>
          <w:szCs w:val="20"/>
        </w:rPr>
      </w:pPr>
      <w:r w:rsidRPr="00FA15B0">
        <w:rPr>
          <w:rFonts w:ascii="Arial" w:hAnsi="Arial"/>
          <w:sz w:val="20"/>
          <w:szCs w:val="20"/>
        </w:rPr>
        <w:t xml:space="preserve">Plus d’informations sur le site d’Alliance : </w:t>
      </w:r>
      <w:hyperlink r:id="rId19" w:history="1">
        <w:r w:rsidRPr="00FA15B0">
          <w:rPr>
            <w:rStyle w:val="Hyperlink"/>
            <w:rFonts w:ascii="Arial" w:hAnsi="Arial"/>
            <w:sz w:val="20"/>
            <w:szCs w:val="20"/>
          </w:rPr>
          <w:t>www.alliancenickel.au</w:t>
        </w:r>
      </w:hyperlink>
    </w:p>
    <w:p w14:paraId="651BC35C" w14:textId="77777777" w:rsidR="005C533B" w:rsidRPr="00E241A7" w:rsidRDefault="005C533B" w:rsidP="00211BDA">
      <w:pPr>
        <w:spacing w:after="0"/>
        <w:rPr>
          <w:rFonts w:ascii="Arial" w:eastAsia="Arial" w:hAnsi="Arial" w:cs="Arial"/>
          <w:b/>
          <w:sz w:val="22"/>
          <w:szCs w:val="22"/>
        </w:rPr>
      </w:pPr>
    </w:p>
    <w:p w14:paraId="7522966E" w14:textId="77777777" w:rsidR="00211BDA" w:rsidRPr="00E241A7" w:rsidRDefault="00211BDA" w:rsidP="00211BDA">
      <w:pPr>
        <w:spacing w:after="0"/>
        <w:rPr>
          <w:rFonts w:ascii="Arial" w:eastAsia="Arial" w:hAnsi="Arial" w:cs="Arial"/>
          <w:b/>
          <w:sz w:val="22"/>
          <w:szCs w:val="22"/>
        </w:rPr>
      </w:pPr>
      <w:r>
        <w:rPr>
          <w:rFonts w:ascii="Arial" w:hAnsi="Arial"/>
          <w:b/>
          <w:sz w:val="22"/>
          <w:szCs w:val="22"/>
        </w:rPr>
        <w:t>Contacts :</w:t>
      </w:r>
    </w:p>
    <w:p w14:paraId="4AF1FD63" w14:textId="77777777" w:rsidR="00211BDA" w:rsidRPr="00E241A7" w:rsidRDefault="00211BDA" w:rsidP="00211BDA">
      <w:pPr>
        <w:spacing w:after="0"/>
        <w:rPr>
          <w:rFonts w:ascii="Arial" w:eastAsiaTheme="minorEastAsia" w:hAnsi="Arial" w:cs="Arial"/>
          <w:sz w:val="22"/>
          <w:szCs w:val="22"/>
        </w:rPr>
      </w:pPr>
    </w:p>
    <w:p w14:paraId="40928985" w14:textId="77777777" w:rsidR="00211BDA" w:rsidRPr="00E241A7" w:rsidRDefault="00211BDA" w:rsidP="00211BDA">
      <w:pPr>
        <w:spacing w:after="0"/>
        <w:rPr>
          <w:rFonts w:ascii="Arial" w:hAnsi="Arial" w:cs="Arial"/>
          <w:b/>
          <w:bCs/>
          <w:sz w:val="22"/>
          <w:szCs w:val="22"/>
        </w:rPr>
      </w:pPr>
      <w:bookmarkStart w:id="1" w:name="_Hlk115941120"/>
      <w:r>
        <w:rPr>
          <w:rFonts w:ascii="Arial" w:hAnsi="Arial"/>
          <w:b/>
          <w:bCs/>
          <w:sz w:val="22"/>
          <w:szCs w:val="22"/>
        </w:rPr>
        <w:t>Stellantis</w:t>
      </w:r>
    </w:p>
    <w:p w14:paraId="50B282E4" w14:textId="77777777" w:rsidR="00211BDA" w:rsidRPr="00E241A7" w:rsidRDefault="00211BDA" w:rsidP="00211BDA">
      <w:pPr>
        <w:spacing w:after="0"/>
        <w:rPr>
          <w:rFonts w:ascii="Arial" w:hAnsi="Arial" w:cs="Arial"/>
          <w:sz w:val="22"/>
          <w:szCs w:val="22"/>
        </w:rPr>
      </w:pPr>
    </w:p>
    <w:p w14:paraId="6B543AEB" w14:textId="77777777" w:rsidR="00211BDA" w:rsidRPr="0058020B" w:rsidRDefault="00211BDA" w:rsidP="00211BDA">
      <w:pPr>
        <w:tabs>
          <w:tab w:val="left" w:pos="2592"/>
        </w:tabs>
        <w:spacing w:after="0"/>
        <w:rPr>
          <w:rFonts w:ascii="Arial" w:eastAsia="Arial" w:hAnsi="Arial" w:cs="Arial"/>
          <w:b/>
          <w:bCs/>
          <w:sz w:val="18"/>
          <w:szCs w:val="18"/>
        </w:rPr>
      </w:pPr>
      <w:proofErr w:type="spellStart"/>
      <w:r>
        <w:rPr>
          <w:rFonts w:ascii="Arial" w:hAnsi="Arial"/>
          <w:b/>
          <w:bCs/>
          <w:sz w:val="18"/>
          <w:szCs w:val="18"/>
        </w:rPr>
        <w:t>Fernão</w:t>
      </w:r>
      <w:proofErr w:type="spellEnd"/>
      <w:r>
        <w:rPr>
          <w:rFonts w:ascii="Arial" w:hAnsi="Arial"/>
          <w:b/>
          <w:bCs/>
          <w:sz w:val="18"/>
          <w:szCs w:val="18"/>
        </w:rPr>
        <w:t xml:space="preserve"> Silveira </w:t>
      </w:r>
    </w:p>
    <w:p w14:paraId="19653E43" w14:textId="77777777" w:rsidR="00211BDA" w:rsidRPr="0058020B" w:rsidRDefault="00211BDA" w:rsidP="00211BDA">
      <w:pPr>
        <w:tabs>
          <w:tab w:val="left" w:pos="2592"/>
        </w:tabs>
        <w:spacing w:after="0"/>
        <w:rPr>
          <w:rFonts w:ascii="Arial" w:eastAsia="Arial" w:hAnsi="Arial" w:cs="Arial"/>
          <w:sz w:val="18"/>
          <w:szCs w:val="18"/>
        </w:rPr>
      </w:pPr>
      <w:r>
        <w:rPr>
          <w:rFonts w:ascii="Arial" w:hAnsi="Arial"/>
          <w:sz w:val="18"/>
          <w:szCs w:val="18"/>
        </w:rPr>
        <w:t>Global Communications / Stellantis</w:t>
      </w:r>
    </w:p>
    <w:p w14:paraId="5C12519A" w14:textId="77777777" w:rsidR="008E1ACE" w:rsidRPr="00212BB4" w:rsidRDefault="008E1ACE" w:rsidP="00211BDA">
      <w:pPr>
        <w:tabs>
          <w:tab w:val="left" w:pos="2592"/>
        </w:tabs>
        <w:spacing w:after="0"/>
        <w:rPr>
          <w:rFonts w:ascii="Arial" w:eastAsia="Arial" w:hAnsi="Arial" w:cs="Arial"/>
          <w:sz w:val="18"/>
          <w:szCs w:val="18"/>
          <w:lang w:val="en-US"/>
        </w:rPr>
      </w:pPr>
      <w:r w:rsidRPr="00212BB4">
        <w:rPr>
          <w:rFonts w:ascii="Arial" w:hAnsi="Arial"/>
          <w:sz w:val="18"/>
          <w:szCs w:val="18"/>
          <w:lang w:val="en-US"/>
        </w:rPr>
        <w:t>+31 6 43 25 43 41</w:t>
      </w:r>
    </w:p>
    <w:p w14:paraId="45D162CD" w14:textId="77777777" w:rsidR="00211BDA" w:rsidRPr="00212BB4" w:rsidRDefault="00211BDA" w:rsidP="00211BDA">
      <w:pPr>
        <w:tabs>
          <w:tab w:val="left" w:pos="2592"/>
        </w:tabs>
        <w:spacing w:after="0"/>
        <w:rPr>
          <w:rFonts w:ascii="Arial" w:eastAsia="Arial" w:hAnsi="Arial" w:cs="Arial"/>
          <w:sz w:val="18"/>
          <w:szCs w:val="18"/>
          <w:lang w:val="en-US"/>
        </w:rPr>
      </w:pPr>
      <w:r w:rsidRPr="00212BB4">
        <w:rPr>
          <w:rFonts w:ascii="Arial" w:hAnsi="Arial"/>
          <w:sz w:val="18"/>
          <w:szCs w:val="18"/>
          <w:lang w:val="en-US"/>
        </w:rPr>
        <w:t xml:space="preserve">fernao.silveira@stellantis.com </w:t>
      </w:r>
    </w:p>
    <w:bookmarkEnd w:id="1"/>
    <w:p w14:paraId="0CC834DB" w14:textId="77777777" w:rsidR="00D013CE" w:rsidRPr="00212BB4" w:rsidRDefault="00D013CE" w:rsidP="00D013CE">
      <w:pPr>
        <w:tabs>
          <w:tab w:val="left" w:pos="2592"/>
        </w:tabs>
        <w:spacing w:after="0"/>
        <w:rPr>
          <w:rFonts w:ascii="Arial" w:eastAsia="Arial" w:hAnsi="Arial" w:cs="Arial"/>
          <w:b/>
          <w:bCs/>
          <w:sz w:val="22"/>
          <w:szCs w:val="22"/>
          <w:lang w:val="en-US"/>
        </w:rPr>
      </w:pPr>
    </w:p>
    <w:p w14:paraId="77A07BFD" w14:textId="77777777" w:rsidR="00B07E73" w:rsidRPr="00212BB4" w:rsidRDefault="00B07E73" w:rsidP="00211BDA">
      <w:pPr>
        <w:tabs>
          <w:tab w:val="left" w:pos="2592"/>
        </w:tabs>
        <w:spacing w:after="0"/>
        <w:rPr>
          <w:rFonts w:ascii="Arial" w:eastAsia="Arial" w:hAnsi="Arial" w:cs="Arial"/>
          <w:b/>
          <w:bCs/>
          <w:sz w:val="22"/>
          <w:szCs w:val="22"/>
          <w:lang w:val="en-US"/>
        </w:rPr>
      </w:pPr>
    </w:p>
    <w:p w14:paraId="62C18F38" w14:textId="77777777" w:rsidR="00C202F5" w:rsidRPr="00212BB4" w:rsidRDefault="005C533B" w:rsidP="00211BDA">
      <w:pPr>
        <w:tabs>
          <w:tab w:val="left" w:pos="2592"/>
        </w:tabs>
        <w:spacing w:after="0"/>
        <w:rPr>
          <w:rFonts w:ascii="Arial" w:eastAsia="Arial" w:hAnsi="Arial" w:cs="Arial"/>
          <w:b/>
          <w:bCs/>
          <w:sz w:val="22"/>
          <w:szCs w:val="22"/>
          <w:lang w:val="en-US"/>
        </w:rPr>
      </w:pPr>
      <w:r w:rsidRPr="00212BB4">
        <w:rPr>
          <w:rFonts w:ascii="Arial" w:hAnsi="Arial"/>
          <w:b/>
          <w:bCs/>
          <w:sz w:val="22"/>
          <w:szCs w:val="22"/>
          <w:lang w:val="en-US"/>
        </w:rPr>
        <w:t>Alliance Nickel Limited</w:t>
      </w:r>
    </w:p>
    <w:p w14:paraId="36A0505B" w14:textId="77777777" w:rsidR="00D013CE" w:rsidRPr="00212BB4" w:rsidRDefault="00D013CE" w:rsidP="00D013CE">
      <w:pPr>
        <w:tabs>
          <w:tab w:val="left" w:pos="2592"/>
        </w:tabs>
        <w:spacing w:after="0"/>
        <w:rPr>
          <w:rFonts w:ascii="Arial" w:eastAsia="Arial" w:hAnsi="Arial" w:cs="Arial"/>
          <w:b/>
          <w:bCs/>
          <w:sz w:val="22"/>
          <w:szCs w:val="22"/>
          <w:lang w:val="en-US"/>
        </w:rPr>
      </w:pPr>
    </w:p>
    <w:p w14:paraId="3F3773F2" w14:textId="77777777" w:rsidR="00D013CE" w:rsidRPr="00212BB4" w:rsidRDefault="00D013CE" w:rsidP="00D013CE">
      <w:pPr>
        <w:tabs>
          <w:tab w:val="left" w:pos="2592"/>
        </w:tabs>
        <w:spacing w:after="0"/>
        <w:rPr>
          <w:rFonts w:ascii="Arial" w:eastAsia="Arial" w:hAnsi="Arial" w:cs="Arial"/>
          <w:b/>
          <w:bCs/>
          <w:sz w:val="18"/>
          <w:szCs w:val="18"/>
          <w:lang w:val="en-US"/>
        </w:rPr>
      </w:pPr>
      <w:r w:rsidRPr="00212BB4">
        <w:rPr>
          <w:rFonts w:ascii="Arial" w:hAnsi="Arial"/>
          <w:b/>
          <w:bCs/>
          <w:sz w:val="18"/>
          <w:szCs w:val="18"/>
          <w:lang w:val="en-US"/>
        </w:rPr>
        <w:t xml:space="preserve">Paul </w:t>
      </w:r>
      <w:proofErr w:type="spellStart"/>
      <w:r w:rsidRPr="00212BB4">
        <w:rPr>
          <w:rFonts w:ascii="Arial" w:hAnsi="Arial"/>
          <w:b/>
          <w:bCs/>
          <w:sz w:val="18"/>
          <w:szCs w:val="18"/>
          <w:lang w:val="en-US"/>
        </w:rPr>
        <w:t>Kopejtka</w:t>
      </w:r>
      <w:proofErr w:type="spellEnd"/>
      <w:r w:rsidRPr="00212BB4">
        <w:rPr>
          <w:rFonts w:ascii="Arial" w:hAnsi="Arial"/>
          <w:b/>
          <w:bCs/>
          <w:sz w:val="18"/>
          <w:szCs w:val="18"/>
          <w:lang w:val="en-US"/>
        </w:rPr>
        <w:t xml:space="preserve">  </w:t>
      </w:r>
    </w:p>
    <w:p w14:paraId="4D67F04B" w14:textId="77777777" w:rsidR="00D013CE" w:rsidRPr="00212BB4" w:rsidRDefault="00D013CE" w:rsidP="00D013CE">
      <w:pPr>
        <w:tabs>
          <w:tab w:val="left" w:pos="2592"/>
        </w:tabs>
        <w:spacing w:after="0"/>
        <w:rPr>
          <w:rFonts w:ascii="Arial" w:eastAsia="Arial" w:hAnsi="Arial" w:cs="Arial"/>
          <w:sz w:val="18"/>
          <w:szCs w:val="18"/>
          <w:lang w:val="en-US"/>
        </w:rPr>
      </w:pPr>
      <w:r w:rsidRPr="00212BB4">
        <w:rPr>
          <w:rFonts w:ascii="Arial" w:hAnsi="Arial"/>
          <w:sz w:val="18"/>
          <w:szCs w:val="18"/>
          <w:lang w:val="en-US"/>
        </w:rPr>
        <w:t>Managing Director et CEO</w:t>
      </w:r>
    </w:p>
    <w:p w14:paraId="277A3DDF" w14:textId="77777777" w:rsidR="00D013CE" w:rsidRPr="00212BB4" w:rsidRDefault="00D013CE" w:rsidP="00D013CE">
      <w:pPr>
        <w:tabs>
          <w:tab w:val="left" w:pos="2592"/>
        </w:tabs>
        <w:spacing w:after="0"/>
        <w:rPr>
          <w:rFonts w:ascii="Arial" w:eastAsia="Arial" w:hAnsi="Arial" w:cs="Arial"/>
          <w:sz w:val="18"/>
          <w:szCs w:val="18"/>
          <w:lang w:val="en-US"/>
        </w:rPr>
      </w:pPr>
      <w:r w:rsidRPr="00212BB4">
        <w:rPr>
          <w:rFonts w:ascii="Arial" w:hAnsi="Arial"/>
          <w:sz w:val="18"/>
          <w:szCs w:val="18"/>
          <w:lang w:val="en-US"/>
        </w:rPr>
        <w:t xml:space="preserve">Perth, </w:t>
      </w:r>
      <w:proofErr w:type="spellStart"/>
      <w:r w:rsidRPr="00212BB4">
        <w:rPr>
          <w:rFonts w:ascii="Arial" w:hAnsi="Arial"/>
          <w:sz w:val="18"/>
          <w:szCs w:val="18"/>
          <w:lang w:val="en-US"/>
        </w:rPr>
        <w:t>Australie</w:t>
      </w:r>
      <w:proofErr w:type="spellEnd"/>
      <w:r w:rsidRPr="00212BB4">
        <w:rPr>
          <w:rFonts w:ascii="Arial" w:hAnsi="Arial"/>
          <w:sz w:val="18"/>
          <w:szCs w:val="18"/>
          <w:lang w:val="en-US"/>
        </w:rPr>
        <w:t xml:space="preserve"> occidentale  </w:t>
      </w:r>
    </w:p>
    <w:p w14:paraId="17A45893" w14:textId="155CE0B5" w:rsidR="00D013CE" w:rsidRPr="00212BB4" w:rsidRDefault="00D013CE" w:rsidP="00D013CE">
      <w:pPr>
        <w:tabs>
          <w:tab w:val="left" w:pos="2592"/>
        </w:tabs>
        <w:spacing w:after="0"/>
        <w:rPr>
          <w:rFonts w:ascii="Arial" w:eastAsia="Arial" w:hAnsi="Arial" w:cs="Arial"/>
          <w:sz w:val="18"/>
          <w:szCs w:val="18"/>
          <w:lang w:val="en-US"/>
        </w:rPr>
      </w:pPr>
      <w:r w:rsidRPr="00212BB4">
        <w:rPr>
          <w:rFonts w:ascii="Arial" w:hAnsi="Arial"/>
          <w:sz w:val="18"/>
          <w:szCs w:val="18"/>
          <w:lang w:val="en-US"/>
        </w:rPr>
        <w:t>+61 8 </w:t>
      </w:r>
      <w:r w:rsidR="00035001" w:rsidRPr="00FA15B0">
        <w:rPr>
          <w:rFonts w:ascii="Arial" w:eastAsia="Arial" w:hAnsi="Arial" w:cs="Arial"/>
          <w:sz w:val="18"/>
          <w:szCs w:val="18"/>
          <w:lang w:val="en-US"/>
        </w:rPr>
        <w:t xml:space="preserve">6182 2718   </w:t>
      </w:r>
    </w:p>
    <w:p w14:paraId="16E6BA99" w14:textId="0A83C515" w:rsidR="00D013CE" w:rsidRPr="00212BB4" w:rsidRDefault="00D013CE" w:rsidP="00D013CE">
      <w:pPr>
        <w:tabs>
          <w:tab w:val="left" w:pos="2592"/>
        </w:tabs>
        <w:spacing w:after="0"/>
        <w:rPr>
          <w:rFonts w:ascii="Arial" w:eastAsia="Arial" w:hAnsi="Arial" w:cs="Arial"/>
          <w:sz w:val="18"/>
          <w:szCs w:val="18"/>
          <w:lang w:val="en-US"/>
        </w:rPr>
      </w:pPr>
      <w:r w:rsidRPr="00212BB4">
        <w:rPr>
          <w:rFonts w:ascii="Arial" w:hAnsi="Arial"/>
          <w:sz w:val="18"/>
          <w:szCs w:val="18"/>
          <w:lang w:val="en-US"/>
        </w:rPr>
        <w:t>info@</w:t>
      </w:r>
      <w:r w:rsidR="00DF3006" w:rsidRPr="00FA15B0">
        <w:rPr>
          <w:rFonts w:ascii="Arial" w:eastAsia="Arial" w:hAnsi="Arial" w:cs="Arial"/>
          <w:sz w:val="18"/>
          <w:szCs w:val="18"/>
          <w:lang w:val="en-US"/>
        </w:rPr>
        <w:t>alliancenickel</w:t>
      </w:r>
      <w:r w:rsidRPr="00212BB4">
        <w:rPr>
          <w:rFonts w:ascii="Arial" w:hAnsi="Arial"/>
          <w:sz w:val="18"/>
          <w:szCs w:val="18"/>
          <w:lang w:val="en-US"/>
        </w:rPr>
        <w:t>.au</w:t>
      </w:r>
    </w:p>
    <w:p w14:paraId="2C914617" w14:textId="77777777" w:rsidR="00D013CE" w:rsidRPr="00212BB4" w:rsidRDefault="00D013CE" w:rsidP="00211BDA">
      <w:pPr>
        <w:tabs>
          <w:tab w:val="left" w:pos="2592"/>
        </w:tabs>
        <w:spacing w:after="0"/>
        <w:rPr>
          <w:rFonts w:ascii="Arial" w:eastAsia="Arial" w:hAnsi="Arial" w:cs="Arial"/>
          <w:b/>
          <w:bCs/>
          <w:sz w:val="18"/>
          <w:szCs w:val="18"/>
          <w:lang w:val="en-US"/>
        </w:rPr>
      </w:pPr>
    </w:p>
    <w:p w14:paraId="5C3AB745" w14:textId="77777777" w:rsidR="00D013CE" w:rsidRPr="00212BB4" w:rsidRDefault="00D013CE" w:rsidP="00D013CE">
      <w:pPr>
        <w:tabs>
          <w:tab w:val="left" w:pos="2592"/>
        </w:tabs>
        <w:spacing w:after="0"/>
        <w:rPr>
          <w:rFonts w:ascii="Arial" w:eastAsia="Arial" w:hAnsi="Arial" w:cs="Arial"/>
          <w:b/>
          <w:bCs/>
          <w:sz w:val="18"/>
          <w:szCs w:val="18"/>
          <w:lang w:val="en-US"/>
        </w:rPr>
      </w:pPr>
      <w:r w:rsidRPr="00212BB4">
        <w:rPr>
          <w:rFonts w:ascii="Arial" w:hAnsi="Arial"/>
          <w:b/>
          <w:bCs/>
          <w:sz w:val="18"/>
          <w:szCs w:val="18"/>
          <w:lang w:val="en-US"/>
        </w:rPr>
        <w:t xml:space="preserve">Michael Vaughan </w:t>
      </w:r>
    </w:p>
    <w:p w14:paraId="5395C6E1" w14:textId="77777777" w:rsidR="00D013CE" w:rsidRPr="00212BB4" w:rsidRDefault="00D013CE" w:rsidP="00D013CE">
      <w:pPr>
        <w:tabs>
          <w:tab w:val="left" w:pos="2592"/>
        </w:tabs>
        <w:spacing w:after="0"/>
        <w:rPr>
          <w:rFonts w:ascii="Arial" w:eastAsia="Arial" w:hAnsi="Arial" w:cs="Arial"/>
          <w:sz w:val="18"/>
          <w:szCs w:val="18"/>
          <w:lang w:val="en-US"/>
        </w:rPr>
      </w:pPr>
      <w:proofErr w:type="spellStart"/>
      <w:r w:rsidRPr="00212BB4">
        <w:rPr>
          <w:rFonts w:ascii="Arial" w:hAnsi="Arial"/>
          <w:sz w:val="18"/>
          <w:szCs w:val="18"/>
          <w:lang w:val="en-US"/>
        </w:rPr>
        <w:t>Fivemark</w:t>
      </w:r>
      <w:proofErr w:type="spellEnd"/>
      <w:r w:rsidRPr="00212BB4">
        <w:rPr>
          <w:rFonts w:ascii="Arial" w:hAnsi="Arial"/>
          <w:sz w:val="18"/>
          <w:szCs w:val="18"/>
          <w:lang w:val="en-US"/>
        </w:rPr>
        <w:t xml:space="preserve"> Partners </w:t>
      </w:r>
    </w:p>
    <w:p w14:paraId="33FB8666" w14:textId="77777777" w:rsidR="00D013CE" w:rsidRPr="00FA15B0" w:rsidRDefault="00D013CE" w:rsidP="00D013CE">
      <w:pPr>
        <w:tabs>
          <w:tab w:val="left" w:pos="2592"/>
        </w:tabs>
        <w:spacing w:after="0"/>
        <w:rPr>
          <w:rFonts w:ascii="Arial" w:eastAsia="Arial" w:hAnsi="Arial" w:cs="Arial"/>
          <w:sz w:val="18"/>
          <w:szCs w:val="18"/>
          <w:lang w:val="en-US"/>
        </w:rPr>
      </w:pPr>
      <w:r w:rsidRPr="00FA15B0">
        <w:rPr>
          <w:rFonts w:ascii="Arial" w:hAnsi="Arial"/>
          <w:sz w:val="18"/>
          <w:szCs w:val="18"/>
          <w:lang w:val="en-US"/>
        </w:rPr>
        <w:t xml:space="preserve">Perth, </w:t>
      </w:r>
      <w:proofErr w:type="spellStart"/>
      <w:r w:rsidRPr="00FA15B0">
        <w:rPr>
          <w:rFonts w:ascii="Arial" w:hAnsi="Arial"/>
          <w:sz w:val="18"/>
          <w:szCs w:val="18"/>
          <w:lang w:val="en-US"/>
        </w:rPr>
        <w:t>Australie</w:t>
      </w:r>
      <w:proofErr w:type="spellEnd"/>
      <w:r w:rsidRPr="00FA15B0">
        <w:rPr>
          <w:rFonts w:ascii="Arial" w:hAnsi="Arial"/>
          <w:sz w:val="18"/>
          <w:szCs w:val="18"/>
          <w:lang w:val="en-US"/>
        </w:rPr>
        <w:t xml:space="preserve"> occidentale </w:t>
      </w:r>
    </w:p>
    <w:p w14:paraId="535FB6AB" w14:textId="77777777" w:rsidR="00D013CE" w:rsidRPr="00FA15B0" w:rsidRDefault="00D013CE" w:rsidP="00D013CE">
      <w:pPr>
        <w:tabs>
          <w:tab w:val="left" w:pos="2592"/>
        </w:tabs>
        <w:spacing w:after="0"/>
        <w:rPr>
          <w:rFonts w:ascii="Arial" w:eastAsia="Arial" w:hAnsi="Arial" w:cs="Arial"/>
          <w:sz w:val="18"/>
          <w:szCs w:val="18"/>
          <w:lang w:val="en-US"/>
        </w:rPr>
      </w:pPr>
      <w:r w:rsidRPr="00FA15B0">
        <w:rPr>
          <w:rFonts w:ascii="Arial" w:hAnsi="Arial"/>
          <w:sz w:val="18"/>
          <w:szCs w:val="18"/>
          <w:lang w:val="en-US"/>
        </w:rPr>
        <w:t xml:space="preserve">+61 422 602 720 </w:t>
      </w:r>
    </w:p>
    <w:p w14:paraId="19EFA021" w14:textId="77777777" w:rsidR="00D013CE" w:rsidRPr="00FA15B0" w:rsidRDefault="00D013CE" w:rsidP="00D013CE">
      <w:pPr>
        <w:tabs>
          <w:tab w:val="left" w:pos="2592"/>
        </w:tabs>
        <w:spacing w:after="0"/>
        <w:rPr>
          <w:rFonts w:ascii="Arial" w:eastAsia="Arial" w:hAnsi="Arial" w:cs="Arial"/>
          <w:sz w:val="18"/>
          <w:szCs w:val="18"/>
          <w:lang w:val="en-US"/>
        </w:rPr>
      </w:pPr>
      <w:r w:rsidRPr="00FA15B0">
        <w:rPr>
          <w:rFonts w:ascii="Arial" w:hAnsi="Arial"/>
          <w:sz w:val="18"/>
          <w:szCs w:val="18"/>
          <w:lang w:val="en-US"/>
        </w:rPr>
        <w:t>michael.vaughan@fivemark.com.au</w:t>
      </w:r>
    </w:p>
    <w:p w14:paraId="18DEDBF2" w14:textId="595342E3" w:rsidR="004112A2" w:rsidRPr="00FA15B0" w:rsidRDefault="004112A2">
      <w:pPr>
        <w:rPr>
          <w:rFonts w:ascii="Arial" w:hAnsi="Arial" w:cs="Arial"/>
          <w:b/>
          <w:bCs/>
          <w:sz w:val="18"/>
          <w:szCs w:val="18"/>
          <w:lang w:val="en-US"/>
        </w:rPr>
      </w:pPr>
      <w:r w:rsidRPr="00FA15B0">
        <w:rPr>
          <w:rFonts w:ascii="Arial" w:hAnsi="Arial" w:cs="Arial"/>
          <w:b/>
          <w:bCs/>
          <w:sz w:val="18"/>
          <w:szCs w:val="18"/>
          <w:lang w:val="en-US"/>
        </w:rPr>
        <w:br w:type="page"/>
      </w:r>
    </w:p>
    <w:p w14:paraId="38A8911B" w14:textId="77777777" w:rsidR="004F3039" w:rsidRPr="00E241A7" w:rsidRDefault="004F3039" w:rsidP="004F3039">
      <w:pPr>
        <w:spacing w:before="240"/>
        <w:rPr>
          <w:rFonts w:ascii="Arial" w:eastAsia="Encode Sans" w:hAnsi="Arial" w:cs="Arial"/>
          <w:b/>
          <w:bCs/>
          <w:i/>
          <w:sz w:val="18"/>
          <w:szCs w:val="18"/>
        </w:rPr>
      </w:pPr>
      <w:r>
        <w:rPr>
          <w:rFonts w:ascii="Arial" w:hAnsi="Arial"/>
          <w:b/>
          <w:bCs/>
          <w:i/>
          <w:sz w:val="18"/>
          <w:szCs w:val="18"/>
        </w:rPr>
        <w:lastRenderedPageBreak/>
        <w:t>DÉCLARATIONS PROSPECTIVES DE STELLANTIS</w:t>
      </w:r>
    </w:p>
    <w:p w14:paraId="35D38982" w14:textId="77777777" w:rsidR="0058020B" w:rsidRPr="0058020B" w:rsidRDefault="0058020B" w:rsidP="0058020B">
      <w:pPr>
        <w:spacing w:before="240"/>
        <w:rPr>
          <w:rFonts w:ascii="Arial" w:eastAsia="Encode Sans" w:hAnsi="Arial" w:cs="Arial"/>
          <w:i/>
          <w:sz w:val="18"/>
          <w:szCs w:val="18"/>
        </w:rPr>
      </w:pPr>
      <w:r>
        <w:rPr>
          <w:rFonts w:ascii="Arial" w:hAnsi="Arial"/>
          <w:i/>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rFonts w:ascii="Arial" w:hAnsi="Arial"/>
          <w:i/>
          <w:sz w:val="18"/>
          <w:szCs w:val="18"/>
        </w:rPr>
        <w:t>suite à</w:t>
      </w:r>
      <w:proofErr w:type="gramEnd"/>
      <w:r>
        <w:rPr>
          <w:rFonts w:ascii="Arial" w:hAnsi="Arial"/>
          <w:i/>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w:t>
      </w:r>
      <w:proofErr w:type="gramStart"/>
      <w:r>
        <w:rPr>
          <w:rFonts w:ascii="Arial" w:hAnsi="Arial"/>
          <w:i/>
          <w:sz w:val="18"/>
          <w:szCs w:val="18"/>
        </w:rPr>
        <w:t>futures vis-à-vis</w:t>
      </w:r>
      <w:proofErr w:type="gramEnd"/>
      <w:r>
        <w:rPr>
          <w:rFonts w:ascii="Arial" w:hAnsi="Arial"/>
          <w:i/>
          <w:sz w:val="18"/>
          <w:szCs w:val="18"/>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0F4F0BC2" w14:textId="77777777" w:rsidR="0058020B" w:rsidRPr="0058020B" w:rsidRDefault="0058020B" w:rsidP="0058020B">
      <w:pPr>
        <w:spacing w:before="240"/>
        <w:rPr>
          <w:rFonts w:ascii="Arial" w:eastAsia="Encode Sans" w:hAnsi="Arial" w:cs="Arial"/>
          <w:i/>
          <w:sz w:val="18"/>
          <w:szCs w:val="18"/>
        </w:rPr>
      </w:pPr>
      <w:r>
        <w:rPr>
          <w:rFonts w:ascii="Arial" w:hAnsi="Arial"/>
          <w:i/>
          <w:sz w:val="18"/>
          <w:szCs w:val="18"/>
        </w:rPr>
        <w:t xml:space="preserve"> 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6682C88C" w14:textId="0CC4AF1E" w:rsidR="004112A2" w:rsidRDefault="0058020B" w:rsidP="0058020B">
      <w:pPr>
        <w:spacing w:before="240"/>
        <w:rPr>
          <w:rFonts w:ascii="Arial" w:hAnsi="Arial"/>
          <w:i/>
          <w:sz w:val="18"/>
          <w:szCs w:val="18"/>
        </w:rPr>
      </w:pPr>
      <w:r>
        <w:rPr>
          <w:rFonts w:ascii="Arial" w:hAnsi="Arial"/>
          <w:i/>
          <w:sz w:val="18"/>
          <w:szCs w:val="18"/>
        </w:rPr>
        <w:t xml:space="preserve"> 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p>
    <w:p w14:paraId="707EBEDA" w14:textId="77777777" w:rsidR="004112A2" w:rsidRDefault="004112A2">
      <w:pPr>
        <w:rPr>
          <w:rFonts w:ascii="Arial" w:hAnsi="Arial"/>
          <w:i/>
          <w:sz w:val="18"/>
          <w:szCs w:val="18"/>
        </w:rPr>
      </w:pPr>
      <w:r>
        <w:rPr>
          <w:rFonts w:ascii="Arial" w:hAnsi="Arial"/>
          <w:i/>
          <w:sz w:val="18"/>
          <w:szCs w:val="18"/>
        </w:rPr>
        <w:br w:type="page"/>
      </w:r>
    </w:p>
    <w:p w14:paraId="4254901B" w14:textId="77777777" w:rsidR="00C77EDC" w:rsidRPr="00E241A7" w:rsidRDefault="00A10206" w:rsidP="0058020B">
      <w:pPr>
        <w:spacing w:before="240"/>
        <w:rPr>
          <w:rFonts w:ascii="Arial" w:eastAsia="Encode Sans" w:hAnsi="Arial" w:cs="Arial"/>
          <w:b/>
          <w:bCs/>
          <w:i/>
          <w:sz w:val="18"/>
          <w:szCs w:val="18"/>
        </w:rPr>
      </w:pPr>
      <w:r>
        <w:rPr>
          <w:rFonts w:ascii="Arial" w:hAnsi="Arial"/>
          <w:b/>
          <w:bCs/>
          <w:i/>
          <w:sz w:val="18"/>
          <w:szCs w:val="18"/>
        </w:rPr>
        <w:lastRenderedPageBreak/>
        <w:t xml:space="preserve">Déclarations prospectives d’Alliance </w:t>
      </w:r>
    </w:p>
    <w:p w14:paraId="41292F34" w14:textId="77777777" w:rsidR="00C77EDC" w:rsidRPr="00E241A7" w:rsidRDefault="00C77EDC" w:rsidP="00C77EDC">
      <w:pPr>
        <w:spacing w:before="120"/>
        <w:rPr>
          <w:rFonts w:ascii="Arial" w:eastAsia="Encode Sans" w:hAnsi="Arial" w:cs="Arial"/>
          <w:i/>
          <w:sz w:val="18"/>
          <w:szCs w:val="18"/>
        </w:rPr>
      </w:pPr>
      <w:r>
        <w:rPr>
          <w:rFonts w:ascii="Arial" w:hAnsi="Arial"/>
          <w:i/>
          <w:sz w:val="18"/>
          <w:szCs w:val="18"/>
        </w:rPr>
        <w:t>Cette annonce contient des déclarations concernant nos performances commerciales et financières futures ainsi que certains événements ou développements anticipés impliquant Alliance Nickel Limited (Alliance) et susceptibles de constituer des déclarations prospectives. Ces déclarations pourront être identifiées par des mots tels que « potentiel », « exploitable », « exploitation à ciel ouvert proposée », « évaluation », « escompter », « futur », « ultérieur », « opération », « développement », « plan », « autorisant », « approbations », « traitement de l’accord » ou tout autre mot de sens similaire. Lesdites déclarations sont basées sur les prévisions actuelles et certaines estimations effectuées par les dirigeants et les consultants d’Alliance, et sont par conséquent soumises à différents risques et incertitudes. Divers facteurs, dont nombre sont indépendants de la volonté d’Alliance, affectent nos opérations, nos performances, notre stratégie commerciale et nos résultats, et les résultats, performances ou réalisations effectives pourraient différer sensiblement de ceux exprimés ou impliqués dans ces déclarations prospectives.</w:t>
      </w:r>
    </w:p>
    <w:p w14:paraId="6404BE19" w14:textId="77777777" w:rsidR="00C77EDC" w:rsidRPr="00E241A7" w:rsidRDefault="00C77EDC" w:rsidP="00C77EDC">
      <w:pPr>
        <w:rPr>
          <w:rFonts w:ascii="Arial" w:eastAsia="Encode Sans" w:hAnsi="Arial" w:cs="Arial"/>
          <w:i/>
          <w:sz w:val="18"/>
          <w:szCs w:val="18"/>
        </w:rPr>
      </w:pPr>
    </w:p>
    <w:p w14:paraId="24FDA79D" w14:textId="77777777" w:rsidR="00C77EDC" w:rsidRPr="00E241A7" w:rsidRDefault="00C77EDC" w:rsidP="004F3039">
      <w:pPr>
        <w:spacing w:before="240"/>
        <w:rPr>
          <w:rFonts w:ascii="Arial" w:hAnsi="Arial" w:cs="Arial"/>
          <w:b/>
          <w:i/>
          <w:sz w:val="16"/>
          <w:szCs w:val="16"/>
        </w:rPr>
      </w:pPr>
    </w:p>
    <w:sectPr w:rsidR="00C77EDC" w:rsidRPr="00E241A7" w:rsidSect="00C202F5">
      <w:footerReference w:type="default" r:id="rId20"/>
      <w:headerReference w:type="first" r:id="rId21"/>
      <w:pgSz w:w="12242" w:h="15842"/>
      <w:pgMar w:top="1134" w:right="1928" w:bottom="1134"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DA84" w14:textId="77777777" w:rsidR="00672187" w:rsidRDefault="00672187">
      <w:pPr>
        <w:spacing w:after="0"/>
      </w:pPr>
      <w:r>
        <w:separator/>
      </w:r>
    </w:p>
  </w:endnote>
  <w:endnote w:type="continuationSeparator" w:id="0">
    <w:p w14:paraId="45F1D91C" w14:textId="77777777" w:rsidR="00672187" w:rsidRDefault="006721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Expanded">
    <w:altName w:val="Calibri"/>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B522" w14:textId="77777777"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FFB2" w14:textId="77777777" w:rsidR="00672187" w:rsidRDefault="00672187">
      <w:pPr>
        <w:spacing w:after="0"/>
      </w:pPr>
      <w:r>
        <w:separator/>
      </w:r>
    </w:p>
  </w:footnote>
  <w:footnote w:type="continuationSeparator" w:id="0">
    <w:p w14:paraId="4677F3CC" w14:textId="77777777" w:rsidR="00672187" w:rsidRDefault="006721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D227" w14:textId="77777777" w:rsidR="00E241A7" w:rsidRDefault="00E241A7">
    <w:pPr>
      <w:pStyle w:val="Header"/>
    </w:pPr>
    <w:r>
      <w:rPr>
        <w:noProof/>
        <w:lang w:val="en-US"/>
      </w:rPr>
      <w:drawing>
        <wp:inline distT="0" distB="0" distL="0" distR="0" wp14:anchorId="777E60E7" wp14:editId="46588694">
          <wp:extent cx="5325110" cy="72898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325110" cy="728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26469718">
    <w:abstractNumId w:val="0"/>
  </w:num>
  <w:num w:numId="2" w16cid:durableId="13655215">
    <w:abstractNumId w:val="1"/>
  </w:num>
  <w:num w:numId="3" w16cid:durableId="564296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39C"/>
    <w:rsid w:val="000127F3"/>
    <w:rsid w:val="00020A0F"/>
    <w:rsid w:val="00035001"/>
    <w:rsid w:val="000403C6"/>
    <w:rsid w:val="00044E26"/>
    <w:rsid w:val="0006441F"/>
    <w:rsid w:val="000661DE"/>
    <w:rsid w:val="0008041C"/>
    <w:rsid w:val="000833E0"/>
    <w:rsid w:val="00096BB8"/>
    <w:rsid w:val="000B0968"/>
    <w:rsid w:val="000B2E42"/>
    <w:rsid w:val="000C5A52"/>
    <w:rsid w:val="000D07E0"/>
    <w:rsid w:val="000D0AC3"/>
    <w:rsid w:val="000D5295"/>
    <w:rsid w:val="000F7479"/>
    <w:rsid w:val="00100E33"/>
    <w:rsid w:val="00103441"/>
    <w:rsid w:val="0010447B"/>
    <w:rsid w:val="00112372"/>
    <w:rsid w:val="0011344A"/>
    <w:rsid w:val="00115CA3"/>
    <w:rsid w:val="00123307"/>
    <w:rsid w:val="00134F8D"/>
    <w:rsid w:val="001408C0"/>
    <w:rsid w:val="0016045E"/>
    <w:rsid w:val="00162B39"/>
    <w:rsid w:val="00172B2C"/>
    <w:rsid w:val="001855BD"/>
    <w:rsid w:val="0019432C"/>
    <w:rsid w:val="00195133"/>
    <w:rsid w:val="001A14C2"/>
    <w:rsid w:val="001A25FF"/>
    <w:rsid w:val="001A3B61"/>
    <w:rsid w:val="001B7F90"/>
    <w:rsid w:val="001C1D40"/>
    <w:rsid w:val="001D10B3"/>
    <w:rsid w:val="001D2376"/>
    <w:rsid w:val="001E145E"/>
    <w:rsid w:val="00202659"/>
    <w:rsid w:val="0020268D"/>
    <w:rsid w:val="00206526"/>
    <w:rsid w:val="002074AC"/>
    <w:rsid w:val="00211BDA"/>
    <w:rsid w:val="00212BB4"/>
    <w:rsid w:val="00214934"/>
    <w:rsid w:val="002232A1"/>
    <w:rsid w:val="00243FC4"/>
    <w:rsid w:val="00245789"/>
    <w:rsid w:val="00247709"/>
    <w:rsid w:val="0025678C"/>
    <w:rsid w:val="00263AD6"/>
    <w:rsid w:val="00287CED"/>
    <w:rsid w:val="00290471"/>
    <w:rsid w:val="002A00DE"/>
    <w:rsid w:val="002B72BF"/>
    <w:rsid w:val="002C77BE"/>
    <w:rsid w:val="002D1821"/>
    <w:rsid w:val="002D43AD"/>
    <w:rsid w:val="002D67E6"/>
    <w:rsid w:val="002D6E8E"/>
    <w:rsid w:val="002E3C8F"/>
    <w:rsid w:val="002E69CE"/>
    <w:rsid w:val="003011A4"/>
    <w:rsid w:val="003062BC"/>
    <w:rsid w:val="00306BC9"/>
    <w:rsid w:val="003118AB"/>
    <w:rsid w:val="00326642"/>
    <w:rsid w:val="0034475B"/>
    <w:rsid w:val="003712EF"/>
    <w:rsid w:val="00374F28"/>
    <w:rsid w:val="0037579C"/>
    <w:rsid w:val="003C0EBE"/>
    <w:rsid w:val="003C5A36"/>
    <w:rsid w:val="003D21DF"/>
    <w:rsid w:val="003D756D"/>
    <w:rsid w:val="00401F74"/>
    <w:rsid w:val="004112A2"/>
    <w:rsid w:val="00413E9B"/>
    <w:rsid w:val="0041523D"/>
    <w:rsid w:val="00424771"/>
    <w:rsid w:val="00432165"/>
    <w:rsid w:val="00481F4D"/>
    <w:rsid w:val="00492DDE"/>
    <w:rsid w:val="00495D4A"/>
    <w:rsid w:val="004977D2"/>
    <w:rsid w:val="004B14A5"/>
    <w:rsid w:val="004C37B7"/>
    <w:rsid w:val="004C48ED"/>
    <w:rsid w:val="004D60BA"/>
    <w:rsid w:val="004E29EF"/>
    <w:rsid w:val="004E387D"/>
    <w:rsid w:val="004E3DDE"/>
    <w:rsid w:val="004E6CB7"/>
    <w:rsid w:val="004F0A2C"/>
    <w:rsid w:val="004F2150"/>
    <w:rsid w:val="004F3039"/>
    <w:rsid w:val="004F3BE9"/>
    <w:rsid w:val="004F7329"/>
    <w:rsid w:val="005062F7"/>
    <w:rsid w:val="005073F1"/>
    <w:rsid w:val="005079D0"/>
    <w:rsid w:val="00512922"/>
    <w:rsid w:val="00516057"/>
    <w:rsid w:val="00525726"/>
    <w:rsid w:val="00547AF9"/>
    <w:rsid w:val="0055767E"/>
    <w:rsid w:val="00563469"/>
    <w:rsid w:val="0056373F"/>
    <w:rsid w:val="00572D4A"/>
    <w:rsid w:val="0058020B"/>
    <w:rsid w:val="0058367F"/>
    <w:rsid w:val="00594BD8"/>
    <w:rsid w:val="0059767C"/>
    <w:rsid w:val="005B0E86"/>
    <w:rsid w:val="005C533B"/>
    <w:rsid w:val="005E4EB5"/>
    <w:rsid w:val="00603F18"/>
    <w:rsid w:val="0061766E"/>
    <w:rsid w:val="00625C11"/>
    <w:rsid w:val="006262D2"/>
    <w:rsid w:val="00627EDB"/>
    <w:rsid w:val="00631BCB"/>
    <w:rsid w:val="006616BE"/>
    <w:rsid w:val="0066228D"/>
    <w:rsid w:val="006679B2"/>
    <w:rsid w:val="00672187"/>
    <w:rsid w:val="00677729"/>
    <w:rsid w:val="00680D18"/>
    <w:rsid w:val="006863D0"/>
    <w:rsid w:val="006A4ABD"/>
    <w:rsid w:val="006B0CEC"/>
    <w:rsid w:val="006B2EB2"/>
    <w:rsid w:val="006D2F6B"/>
    <w:rsid w:val="006F2551"/>
    <w:rsid w:val="00702B75"/>
    <w:rsid w:val="0071156E"/>
    <w:rsid w:val="0071381F"/>
    <w:rsid w:val="007376E7"/>
    <w:rsid w:val="0076578D"/>
    <w:rsid w:val="00786615"/>
    <w:rsid w:val="00794DDC"/>
    <w:rsid w:val="007A17A2"/>
    <w:rsid w:val="007A1CD0"/>
    <w:rsid w:val="007A61F4"/>
    <w:rsid w:val="007B698C"/>
    <w:rsid w:val="007C5570"/>
    <w:rsid w:val="007F0624"/>
    <w:rsid w:val="007F30E2"/>
    <w:rsid w:val="008018C5"/>
    <w:rsid w:val="008170F0"/>
    <w:rsid w:val="00837A76"/>
    <w:rsid w:val="008535C7"/>
    <w:rsid w:val="00854923"/>
    <w:rsid w:val="00861B7A"/>
    <w:rsid w:val="00881AB2"/>
    <w:rsid w:val="0089621D"/>
    <w:rsid w:val="008A0E8A"/>
    <w:rsid w:val="008B0A0F"/>
    <w:rsid w:val="008B2BF5"/>
    <w:rsid w:val="008B3E6B"/>
    <w:rsid w:val="008B5764"/>
    <w:rsid w:val="008C60D4"/>
    <w:rsid w:val="008D26D0"/>
    <w:rsid w:val="008E1ACE"/>
    <w:rsid w:val="008F269A"/>
    <w:rsid w:val="00907495"/>
    <w:rsid w:val="00914E09"/>
    <w:rsid w:val="00914ED6"/>
    <w:rsid w:val="00925DB9"/>
    <w:rsid w:val="00932D4D"/>
    <w:rsid w:val="00945F1A"/>
    <w:rsid w:val="00964EE7"/>
    <w:rsid w:val="00967C88"/>
    <w:rsid w:val="00980D9E"/>
    <w:rsid w:val="00990BE3"/>
    <w:rsid w:val="00991661"/>
    <w:rsid w:val="00991B50"/>
    <w:rsid w:val="00996297"/>
    <w:rsid w:val="0099793C"/>
    <w:rsid w:val="009A2719"/>
    <w:rsid w:val="009A5024"/>
    <w:rsid w:val="009B2260"/>
    <w:rsid w:val="009B3485"/>
    <w:rsid w:val="009C39C6"/>
    <w:rsid w:val="009D083B"/>
    <w:rsid w:val="009D5DC6"/>
    <w:rsid w:val="009D782E"/>
    <w:rsid w:val="009D7CB7"/>
    <w:rsid w:val="009E385B"/>
    <w:rsid w:val="00A10206"/>
    <w:rsid w:val="00A10846"/>
    <w:rsid w:val="00A143B2"/>
    <w:rsid w:val="00A1710C"/>
    <w:rsid w:val="00A237F3"/>
    <w:rsid w:val="00A42F8E"/>
    <w:rsid w:val="00A579FB"/>
    <w:rsid w:val="00A61578"/>
    <w:rsid w:val="00A70AB9"/>
    <w:rsid w:val="00A816C8"/>
    <w:rsid w:val="00A906F0"/>
    <w:rsid w:val="00A93804"/>
    <w:rsid w:val="00A94D39"/>
    <w:rsid w:val="00A9686E"/>
    <w:rsid w:val="00A976CF"/>
    <w:rsid w:val="00AB0FFA"/>
    <w:rsid w:val="00AD7B93"/>
    <w:rsid w:val="00AE34AF"/>
    <w:rsid w:val="00AF5DF3"/>
    <w:rsid w:val="00B07E73"/>
    <w:rsid w:val="00B272C1"/>
    <w:rsid w:val="00B27345"/>
    <w:rsid w:val="00B31E73"/>
    <w:rsid w:val="00B41B60"/>
    <w:rsid w:val="00B46A84"/>
    <w:rsid w:val="00B523FB"/>
    <w:rsid w:val="00B54574"/>
    <w:rsid w:val="00B57822"/>
    <w:rsid w:val="00B61CF3"/>
    <w:rsid w:val="00B73C7C"/>
    <w:rsid w:val="00B901C8"/>
    <w:rsid w:val="00BC4685"/>
    <w:rsid w:val="00BD74C3"/>
    <w:rsid w:val="00BE126A"/>
    <w:rsid w:val="00BE75A5"/>
    <w:rsid w:val="00C00E9B"/>
    <w:rsid w:val="00C15AD1"/>
    <w:rsid w:val="00C167C2"/>
    <w:rsid w:val="00C202F5"/>
    <w:rsid w:val="00C24901"/>
    <w:rsid w:val="00C30A5A"/>
    <w:rsid w:val="00C334EF"/>
    <w:rsid w:val="00C34D75"/>
    <w:rsid w:val="00C35BE9"/>
    <w:rsid w:val="00C42C0B"/>
    <w:rsid w:val="00C520FA"/>
    <w:rsid w:val="00C566C4"/>
    <w:rsid w:val="00C61685"/>
    <w:rsid w:val="00C77EDC"/>
    <w:rsid w:val="00C818B8"/>
    <w:rsid w:val="00C87382"/>
    <w:rsid w:val="00CA254B"/>
    <w:rsid w:val="00CA3AFC"/>
    <w:rsid w:val="00CA420F"/>
    <w:rsid w:val="00CB19A5"/>
    <w:rsid w:val="00CB3E70"/>
    <w:rsid w:val="00CC15FE"/>
    <w:rsid w:val="00CC5C47"/>
    <w:rsid w:val="00CD319D"/>
    <w:rsid w:val="00CD461A"/>
    <w:rsid w:val="00D013CE"/>
    <w:rsid w:val="00D019D7"/>
    <w:rsid w:val="00D0352B"/>
    <w:rsid w:val="00D22E38"/>
    <w:rsid w:val="00D3455C"/>
    <w:rsid w:val="00D40E54"/>
    <w:rsid w:val="00D41FFA"/>
    <w:rsid w:val="00D47A5A"/>
    <w:rsid w:val="00D878B6"/>
    <w:rsid w:val="00D90200"/>
    <w:rsid w:val="00DA44D2"/>
    <w:rsid w:val="00DB3712"/>
    <w:rsid w:val="00DB7F49"/>
    <w:rsid w:val="00DC4B9C"/>
    <w:rsid w:val="00DD5F91"/>
    <w:rsid w:val="00DF0988"/>
    <w:rsid w:val="00DF3006"/>
    <w:rsid w:val="00DF61C4"/>
    <w:rsid w:val="00E100EF"/>
    <w:rsid w:val="00E11EDF"/>
    <w:rsid w:val="00E13473"/>
    <w:rsid w:val="00E15211"/>
    <w:rsid w:val="00E16A57"/>
    <w:rsid w:val="00E241A7"/>
    <w:rsid w:val="00E36F4A"/>
    <w:rsid w:val="00E402E3"/>
    <w:rsid w:val="00E46862"/>
    <w:rsid w:val="00E55D06"/>
    <w:rsid w:val="00E653B0"/>
    <w:rsid w:val="00E669FB"/>
    <w:rsid w:val="00E759EE"/>
    <w:rsid w:val="00E76235"/>
    <w:rsid w:val="00E877EC"/>
    <w:rsid w:val="00E87F6E"/>
    <w:rsid w:val="00E97FB7"/>
    <w:rsid w:val="00EB0031"/>
    <w:rsid w:val="00EB585F"/>
    <w:rsid w:val="00EC46E6"/>
    <w:rsid w:val="00EC4F3A"/>
    <w:rsid w:val="00ED71C1"/>
    <w:rsid w:val="00EE3906"/>
    <w:rsid w:val="00EF0351"/>
    <w:rsid w:val="00F073F5"/>
    <w:rsid w:val="00F1190D"/>
    <w:rsid w:val="00F1317B"/>
    <w:rsid w:val="00F15C59"/>
    <w:rsid w:val="00F2385D"/>
    <w:rsid w:val="00F430AA"/>
    <w:rsid w:val="00F455C0"/>
    <w:rsid w:val="00F5359D"/>
    <w:rsid w:val="00F557CF"/>
    <w:rsid w:val="00F55FA4"/>
    <w:rsid w:val="00F6243A"/>
    <w:rsid w:val="00F62C02"/>
    <w:rsid w:val="00F72EB4"/>
    <w:rsid w:val="00F75BDD"/>
    <w:rsid w:val="00F76B60"/>
    <w:rsid w:val="00F76C4A"/>
    <w:rsid w:val="00F77D35"/>
    <w:rsid w:val="00F8008C"/>
    <w:rsid w:val="00F801FE"/>
    <w:rsid w:val="00F93D65"/>
    <w:rsid w:val="00F9493A"/>
    <w:rsid w:val="00FA15B0"/>
    <w:rsid w:val="00FA3E38"/>
    <w:rsid w:val="00FB40A5"/>
    <w:rsid w:val="00FB58AF"/>
    <w:rsid w:val="00FD3C15"/>
    <w:rsid w:val="00FD7529"/>
    <w:rsid w:val="00FE2429"/>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E126A"/>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Expanded" w:eastAsia="Encode Sans Expanded Expanded" w:hAnsi="Encode Sans Expanded Expanded" w:cs="Encode Sans Expanded Expanded"/>
        <w:sz w:val="24"/>
        <w:szCs w:val="24"/>
        <w:lang w:val="fr-F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Mentionnonrsolue1">
    <w:name w:val="Mention non résolue1"/>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 w:id="175139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fr/groupe/dare-forward-2030" TargetMode="External"/><Relationship Id="rId18" Type="http://schemas.openxmlformats.org/officeDocument/2006/relationships/hyperlink" Target="https://www.stellantis.com/fr/actualite/communiques-de-presse/2022/juin/stellantis-signe-un-accord-avec-controlled-thermal-resources-sur-un-approvisionnement-en-lithium-a-faibles-emissions-pour-la-production-de-ses-vehicules-electriques-en-amerique-du-nor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tellantis.com/fr/actualite/communiques-de-presse/2022/octobre/stellantis-signe-un-protocole-d-accord-avec-gme-pour-l-achat-futur-de-sulfate-de-nickel-et-de-cobalt-de-qualite-batterie" TargetMode="External"/><Relationship Id="rId17" Type="http://schemas.openxmlformats.org/officeDocument/2006/relationships/hyperlink" Target="https://www.stellantis.com/fr/actualite/communiques-de-presse/2023/janvier/stellantis-signe-un-accord-avec-element-25-limited-pour-l-approvisionnement-en-sulfate-de-manganese-des-batteries-de-vehicules-electriques" TargetMode="External"/><Relationship Id="rId2" Type="http://schemas.openxmlformats.org/officeDocument/2006/relationships/customXml" Target="../customXml/item2.xml"/><Relationship Id="rId16" Type="http://schemas.openxmlformats.org/officeDocument/2006/relationships/hyperlink" Target="https://www.stellantis.com/fr/actualite/communiques-de-presse/2022/juin/stellantis-etend-son-partenariat-avec-vulcan-energy-et-devient-actionnaire-de-cette-societe-de-production-de-lithium-decarbo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5" Type="http://schemas.openxmlformats.org/officeDocument/2006/relationships/numbering" Target="numbering.xml"/><Relationship Id="rId15" Type="http://schemas.openxmlformats.org/officeDocument/2006/relationships/hyperlink" Target="https://www.stellantis.com/fr/actualite/communiques-de-presse/2023/janvier/stellantis-et-terrafame-signent-un-accord-d-approvisionnement-en-sulfate-de-nickel-a-faible-teneur-en-carbone-pour-les-batteries-des-vehicules-electriqu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lliancenickel.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fr/actualite/communiques-de-presse/2023/fevrier/stellantis-annonce-un-investissement-strategique-dans-le-cuivre-en-argentine-et-renouvelle-son-engagement-d-atteindre-la-neutralite-carbone-d-ici-203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0DCD06DB4FF6549973422D366D948C5" ma:contentTypeVersion="2" ma:contentTypeDescription="Create a new document." ma:contentTypeScope="" ma:versionID="3a5fe0a2235e6a035c1f9df453d97e53">
  <xsd:schema xmlns:xsd="http://www.w3.org/2001/XMLSchema" xmlns:xs="http://www.w3.org/2001/XMLSchema" xmlns:p="http://schemas.microsoft.com/office/2006/metadata/properties" xmlns:ns3="b4433625-0c24-41a9-bdfa-68617b5dd8eb" targetNamespace="http://schemas.microsoft.com/office/2006/metadata/properties" ma:root="true" ma:fieldsID="9aacc4901b0ac5600e8b0be9c03819b0" ns3:_="">
    <xsd:import namespace="b4433625-0c24-41a9-bdfa-68617b5dd8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33625-0c24-41a9-bdfa-68617b5dd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B72182F-326B-470F-83F9-C67FAB16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33625-0c24-41a9-bdfa-68617b5d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2222</Words>
  <Characters>12669</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FCA US</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KAILEEN</cp:lastModifiedBy>
  <cp:revision>2</cp:revision>
  <cp:lastPrinted>2023-04-14T03:32:00Z</cp:lastPrinted>
  <dcterms:created xsi:type="dcterms:W3CDTF">2023-04-28T05:20:00Z</dcterms:created>
  <dcterms:modified xsi:type="dcterms:W3CDTF">2023-04-28T05:20:00Z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0x01010010DCD06DB4FF6549973422D366D948C5</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y fmtid="{D5CDD505-2E9C-101B-9397-08002B2CF9AE}" pid="12" name="_NewReviewCycle">
    <vt:lpwstr/>
  </property>
  <property fmtid="{D5CDD505-2E9C-101B-9397-08002B2CF9AE}" pid="13" name="GrammarlyDocumentId">
    <vt:lpwstr>d7cff3caea233ec580b738a2523f845cce4e3a3842a284f86d04936a492e3310</vt:lpwstr>
  </property>
</Properties>
</file>