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2996" w14:textId="77777777" w:rsidR="00A154B4" w:rsidRDefault="00A154B4" w:rsidP="006A390B">
      <w:pPr>
        <w:jc w:val="center"/>
        <w:rPr>
          <w:rFonts w:ascii="Arial" w:hAnsi="Arial" w:cs="Arial"/>
          <w:b/>
          <w:bCs/>
          <w:sz w:val="32"/>
          <w:szCs w:val="32"/>
        </w:rPr>
      </w:pPr>
    </w:p>
    <w:p w14:paraId="734A17E2" w14:textId="77777777" w:rsidR="004D51A7" w:rsidRDefault="004D51A7" w:rsidP="006A390B">
      <w:pPr>
        <w:jc w:val="center"/>
        <w:rPr>
          <w:rFonts w:ascii="Arial" w:hAnsi="Arial" w:cs="Arial"/>
          <w:b/>
          <w:bCs/>
          <w:sz w:val="32"/>
          <w:szCs w:val="32"/>
        </w:rPr>
      </w:pPr>
    </w:p>
    <w:p w14:paraId="48DB2639" w14:textId="6651249C" w:rsidR="00D90200" w:rsidRDefault="00BA7278" w:rsidP="006A390B">
      <w:pPr>
        <w:jc w:val="center"/>
        <w:rPr>
          <w:rFonts w:ascii="Arial" w:hAnsi="Arial" w:cs="Arial"/>
          <w:b/>
          <w:bCs/>
          <w:sz w:val="32"/>
          <w:szCs w:val="32"/>
        </w:rPr>
      </w:pPr>
      <w:r w:rsidRPr="006A390B">
        <w:rPr>
          <w:rFonts w:ascii="Arial" w:hAnsi="Arial" w:cs="Arial"/>
          <w:b/>
          <w:bCs/>
          <w:sz w:val="32"/>
          <w:szCs w:val="32"/>
        </w:rPr>
        <w:t>Stellantis</w:t>
      </w:r>
      <w:r w:rsidR="00211BDA" w:rsidRPr="006A390B">
        <w:rPr>
          <w:rFonts w:ascii="Arial" w:hAnsi="Arial" w:cs="Arial"/>
          <w:b/>
          <w:bCs/>
          <w:sz w:val="32"/>
          <w:szCs w:val="32"/>
        </w:rPr>
        <w:t xml:space="preserve"> </w:t>
      </w:r>
      <w:r w:rsidR="00B444D5">
        <w:rPr>
          <w:rFonts w:ascii="Arial" w:hAnsi="Arial" w:cs="Arial"/>
          <w:b/>
          <w:bCs/>
          <w:sz w:val="32"/>
          <w:szCs w:val="32"/>
        </w:rPr>
        <w:t>Invests in</w:t>
      </w:r>
      <w:r w:rsidR="00DF1778" w:rsidRPr="006A390B">
        <w:rPr>
          <w:rFonts w:ascii="Arial" w:hAnsi="Arial" w:cs="Arial"/>
          <w:b/>
          <w:bCs/>
          <w:sz w:val="32"/>
          <w:szCs w:val="32"/>
        </w:rPr>
        <w:t xml:space="preserve"> </w:t>
      </w:r>
      <w:r w:rsidR="006A390B">
        <w:rPr>
          <w:rFonts w:ascii="Arial" w:hAnsi="Arial" w:cs="Arial"/>
          <w:b/>
          <w:bCs/>
          <w:sz w:val="32"/>
          <w:szCs w:val="32"/>
        </w:rPr>
        <w:t>CTR</w:t>
      </w:r>
      <w:r w:rsidR="00DF1778" w:rsidRPr="006A390B">
        <w:rPr>
          <w:rFonts w:ascii="Arial" w:hAnsi="Arial" w:cs="Arial"/>
          <w:b/>
          <w:bCs/>
          <w:sz w:val="32"/>
          <w:szCs w:val="32"/>
        </w:rPr>
        <w:t xml:space="preserve"> </w:t>
      </w:r>
      <w:r w:rsidR="00B444D5">
        <w:rPr>
          <w:rFonts w:ascii="Arial" w:hAnsi="Arial" w:cs="Arial"/>
          <w:b/>
          <w:bCs/>
          <w:sz w:val="32"/>
          <w:szCs w:val="32"/>
        </w:rPr>
        <w:t xml:space="preserve">to </w:t>
      </w:r>
      <w:r w:rsidR="005857CA">
        <w:rPr>
          <w:rFonts w:ascii="Arial" w:hAnsi="Arial" w:cs="Arial"/>
          <w:b/>
          <w:bCs/>
          <w:sz w:val="32"/>
          <w:szCs w:val="32"/>
        </w:rPr>
        <w:t>Strengthen</w:t>
      </w:r>
      <w:r w:rsidR="00E76CD2" w:rsidRPr="006A390B">
        <w:rPr>
          <w:rFonts w:ascii="Arial" w:hAnsi="Arial" w:cs="Arial"/>
          <w:b/>
          <w:bCs/>
          <w:sz w:val="32"/>
          <w:szCs w:val="32"/>
        </w:rPr>
        <w:t xml:space="preserve"> </w:t>
      </w:r>
      <w:r w:rsidR="00CC3A22" w:rsidRPr="006A390B">
        <w:rPr>
          <w:rFonts w:ascii="Arial" w:hAnsi="Arial" w:cs="Arial"/>
          <w:b/>
          <w:bCs/>
          <w:sz w:val="32"/>
          <w:szCs w:val="32"/>
        </w:rPr>
        <w:t>Low Emissions</w:t>
      </w:r>
      <w:r w:rsidR="00211BDA" w:rsidRPr="006A390B">
        <w:rPr>
          <w:rFonts w:ascii="Arial" w:hAnsi="Arial" w:cs="Arial"/>
          <w:b/>
          <w:bCs/>
          <w:sz w:val="32"/>
          <w:szCs w:val="32"/>
        </w:rPr>
        <w:t xml:space="preserve"> </w:t>
      </w:r>
      <w:r w:rsidR="00AC239E" w:rsidRPr="006A390B">
        <w:rPr>
          <w:rFonts w:ascii="Arial" w:hAnsi="Arial" w:cs="Arial"/>
          <w:b/>
          <w:bCs/>
          <w:sz w:val="32"/>
          <w:szCs w:val="32"/>
        </w:rPr>
        <w:t xml:space="preserve">U.S. </w:t>
      </w:r>
      <w:r w:rsidRPr="006A390B">
        <w:rPr>
          <w:rFonts w:ascii="Arial" w:hAnsi="Arial" w:cs="Arial"/>
          <w:b/>
          <w:bCs/>
          <w:sz w:val="32"/>
          <w:szCs w:val="32"/>
        </w:rPr>
        <w:t xml:space="preserve">Lithium </w:t>
      </w:r>
      <w:r w:rsidR="00E76CD2" w:rsidRPr="006A390B">
        <w:rPr>
          <w:rFonts w:ascii="Arial" w:hAnsi="Arial" w:cs="Arial"/>
          <w:b/>
          <w:bCs/>
          <w:sz w:val="32"/>
          <w:szCs w:val="32"/>
        </w:rPr>
        <w:t xml:space="preserve">Production </w:t>
      </w:r>
    </w:p>
    <w:p w14:paraId="75961C51" w14:textId="3A4411A9" w:rsidR="00ED6A87" w:rsidRPr="006A390B" w:rsidRDefault="00ED6A87" w:rsidP="00ED6A87">
      <w:pPr>
        <w:pStyle w:val="ListParagraph"/>
        <w:numPr>
          <w:ilvl w:val="0"/>
          <w:numId w:val="4"/>
        </w:numPr>
        <w:rPr>
          <w:rFonts w:ascii="Arial" w:hAnsi="Arial" w:cs="Arial"/>
        </w:rPr>
      </w:pPr>
      <w:r w:rsidRPr="42F95CC8">
        <w:rPr>
          <w:rFonts w:ascii="Arial" w:hAnsi="Arial" w:cs="Arial"/>
        </w:rPr>
        <w:t>Stellantis</w:t>
      </w:r>
      <w:r w:rsidR="00CA70D6">
        <w:rPr>
          <w:rFonts w:ascii="Arial" w:hAnsi="Arial" w:cs="Arial"/>
        </w:rPr>
        <w:t xml:space="preserve"> invests over $100 million to</w:t>
      </w:r>
      <w:r w:rsidRPr="42F95CC8">
        <w:rPr>
          <w:rFonts w:ascii="Arial" w:hAnsi="Arial" w:cs="Arial"/>
        </w:rPr>
        <w:t xml:space="preserve"> advance the development of geothermal lithium project in California</w:t>
      </w:r>
      <w:r w:rsidR="2AD03993" w:rsidRPr="42F95CC8">
        <w:rPr>
          <w:rFonts w:ascii="Arial" w:hAnsi="Arial" w:cs="Arial"/>
        </w:rPr>
        <w:t xml:space="preserve"> </w:t>
      </w:r>
      <w:r w:rsidRPr="42F95CC8">
        <w:rPr>
          <w:rFonts w:ascii="Arial" w:hAnsi="Arial" w:cs="Arial"/>
        </w:rPr>
        <w:t xml:space="preserve">and encourage decarbonization of battery electric vehicle supply </w:t>
      </w:r>
      <w:proofErr w:type="gramStart"/>
      <w:r w:rsidRPr="42F95CC8">
        <w:rPr>
          <w:rFonts w:ascii="Arial" w:hAnsi="Arial" w:cs="Arial"/>
        </w:rPr>
        <w:t>chains</w:t>
      </w:r>
      <w:proofErr w:type="gramEnd"/>
    </w:p>
    <w:p w14:paraId="5D30D0BE" w14:textId="18DB1E33" w:rsidR="00B444D5" w:rsidRDefault="00B92542" w:rsidP="006A390B">
      <w:pPr>
        <w:pStyle w:val="ListParagraph"/>
        <w:numPr>
          <w:ilvl w:val="0"/>
          <w:numId w:val="4"/>
        </w:numPr>
        <w:rPr>
          <w:rFonts w:ascii="Arial" w:hAnsi="Arial" w:cs="Arial"/>
        </w:rPr>
      </w:pPr>
      <w:r w:rsidRPr="42F95CC8">
        <w:rPr>
          <w:rFonts w:ascii="Arial" w:hAnsi="Arial" w:cs="Arial"/>
        </w:rPr>
        <w:t>New agreement</w:t>
      </w:r>
      <w:r w:rsidR="00B32705" w:rsidRPr="42F95CC8">
        <w:rPr>
          <w:rFonts w:ascii="Arial" w:hAnsi="Arial" w:cs="Arial"/>
        </w:rPr>
        <w:t xml:space="preserve"> includes </w:t>
      </w:r>
      <w:r w:rsidR="46D49E25" w:rsidRPr="42F95CC8">
        <w:rPr>
          <w:rFonts w:ascii="Arial" w:hAnsi="Arial" w:cs="Arial"/>
        </w:rPr>
        <w:t xml:space="preserve">a </w:t>
      </w:r>
      <w:r w:rsidR="616BE6BB" w:rsidRPr="42F95CC8">
        <w:rPr>
          <w:rFonts w:ascii="Arial" w:hAnsi="Arial" w:cs="Arial"/>
        </w:rPr>
        <w:t xml:space="preserve">supply </w:t>
      </w:r>
      <w:r w:rsidR="00B32705" w:rsidRPr="42F95CC8">
        <w:rPr>
          <w:rFonts w:ascii="Arial" w:hAnsi="Arial" w:cs="Arial"/>
        </w:rPr>
        <w:t xml:space="preserve">increase from the initial plan of 25,000 metric tons to </w:t>
      </w:r>
      <w:r w:rsidR="008F31DD" w:rsidRPr="42F95CC8">
        <w:rPr>
          <w:rFonts w:ascii="Arial" w:hAnsi="Arial" w:cs="Arial"/>
        </w:rPr>
        <w:t xml:space="preserve">up to </w:t>
      </w:r>
      <w:r w:rsidR="00B32705" w:rsidRPr="42F95CC8">
        <w:rPr>
          <w:rFonts w:ascii="Arial" w:hAnsi="Arial" w:cs="Arial"/>
        </w:rPr>
        <w:t xml:space="preserve">65,000 metric tons </w:t>
      </w:r>
      <w:r w:rsidR="1B622337" w:rsidRPr="42F95CC8">
        <w:rPr>
          <w:rFonts w:ascii="Arial" w:hAnsi="Arial" w:cs="Arial"/>
        </w:rPr>
        <w:t xml:space="preserve">per year </w:t>
      </w:r>
      <w:r w:rsidR="00B32705" w:rsidRPr="42F95CC8">
        <w:rPr>
          <w:rFonts w:ascii="Arial" w:hAnsi="Arial" w:cs="Arial"/>
        </w:rPr>
        <w:t xml:space="preserve">of battery-grade lithium hydroxide </w:t>
      </w:r>
      <w:proofErr w:type="gramStart"/>
      <w:r w:rsidR="00B32705" w:rsidRPr="42F95CC8">
        <w:rPr>
          <w:rFonts w:ascii="Arial" w:hAnsi="Arial" w:cs="Arial"/>
        </w:rPr>
        <w:t>monohydrate</w:t>
      </w:r>
      <w:proofErr w:type="gramEnd"/>
    </w:p>
    <w:p w14:paraId="73ABA596" w14:textId="782DEC09" w:rsidR="00A90229" w:rsidRDefault="00BA7278" w:rsidP="006A390B">
      <w:pPr>
        <w:pStyle w:val="ListParagraph"/>
        <w:numPr>
          <w:ilvl w:val="0"/>
          <w:numId w:val="4"/>
        </w:numPr>
        <w:rPr>
          <w:rFonts w:ascii="Arial" w:hAnsi="Arial" w:cs="Arial"/>
        </w:rPr>
      </w:pPr>
      <w:r w:rsidRPr="006A390B">
        <w:rPr>
          <w:rFonts w:ascii="Arial" w:hAnsi="Arial" w:cs="Arial"/>
        </w:rPr>
        <w:t>CTR</w:t>
      </w:r>
      <w:r w:rsidR="0028624D" w:rsidRPr="006A390B">
        <w:rPr>
          <w:rFonts w:ascii="Arial" w:hAnsi="Arial" w:cs="Arial"/>
        </w:rPr>
        <w:t xml:space="preserve">’s </w:t>
      </w:r>
      <w:r w:rsidRPr="006A390B">
        <w:rPr>
          <w:rFonts w:ascii="Arial" w:hAnsi="Arial" w:cs="Arial"/>
        </w:rPr>
        <w:t>integrated</w:t>
      </w:r>
      <w:r w:rsidR="001B2E0F">
        <w:rPr>
          <w:rFonts w:ascii="Arial" w:hAnsi="Arial" w:cs="Arial"/>
        </w:rPr>
        <w:t xml:space="preserve"> </w:t>
      </w:r>
      <w:r w:rsidR="004A7204">
        <w:rPr>
          <w:rFonts w:ascii="Arial" w:hAnsi="Arial" w:cs="Arial"/>
        </w:rPr>
        <w:t>production</w:t>
      </w:r>
      <w:r w:rsidR="0012107E">
        <w:rPr>
          <w:rFonts w:ascii="Arial" w:hAnsi="Arial" w:cs="Arial"/>
        </w:rPr>
        <w:t xml:space="preserve"> process </w:t>
      </w:r>
      <w:r w:rsidR="005857CA">
        <w:rPr>
          <w:rFonts w:ascii="Arial" w:hAnsi="Arial" w:cs="Arial"/>
        </w:rPr>
        <w:t xml:space="preserve">employs </w:t>
      </w:r>
      <w:r w:rsidR="000A64E4">
        <w:rPr>
          <w:rFonts w:ascii="Arial" w:hAnsi="Arial" w:cs="Arial"/>
        </w:rPr>
        <w:t xml:space="preserve">modular </w:t>
      </w:r>
      <w:r w:rsidR="0012107E">
        <w:rPr>
          <w:rFonts w:ascii="Arial" w:hAnsi="Arial" w:cs="Arial"/>
        </w:rPr>
        <w:t>engineering design</w:t>
      </w:r>
      <w:r w:rsidR="002664A8">
        <w:rPr>
          <w:rFonts w:ascii="Arial" w:hAnsi="Arial" w:cs="Arial"/>
        </w:rPr>
        <w:t xml:space="preserve"> </w:t>
      </w:r>
      <w:r w:rsidR="001A1ECC">
        <w:rPr>
          <w:rFonts w:ascii="Arial" w:hAnsi="Arial" w:cs="Arial"/>
        </w:rPr>
        <w:t xml:space="preserve">for </w:t>
      </w:r>
      <w:r w:rsidR="004F7719">
        <w:rPr>
          <w:rFonts w:ascii="Arial" w:hAnsi="Arial" w:cs="Arial"/>
        </w:rPr>
        <w:t>efficient</w:t>
      </w:r>
      <w:r w:rsidR="001A1ECC">
        <w:rPr>
          <w:rFonts w:ascii="Arial" w:hAnsi="Arial" w:cs="Arial"/>
        </w:rPr>
        <w:t xml:space="preserve"> scale-up</w:t>
      </w:r>
      <w:r w:rsidR="00AC18A4">
        <w:rPr>
          <w:rFonts w:ascii="Arial" w:hAnsi="Arial" w:cs="Arial"/>
        </w:rPr>
        <w:t xml:space="preserve">, </w:t>
      </w:r>
      <w:r w:rsidR="003E2B47">
        <w:rPr>
          <w:rFonts w:ascii="Arial" w:hAnsi="Arial" w:cs="Arial"/>
        </w:rPr>
        <w:t>minimizing</w:t>
      </w:r>
      <w:r w:rsidR="00234DC8" w:rsidRPr="006A390B">
        <w:rPr>
          <w:rFonts w:ascii="Arial" w:hAnsi="Arial" w:cs="Arial"/>
        </w:rPr>
        <w:t xml:space="preserve"> </w:t>
      </w:r>
      <w:r w:rsidR="008B2973" w:rsidRPr="006A390B">
        <w:rPr>
          <w:rFonts w:ascii="Arial" w:hAnsi="Arial" w:cs="Arial"/>
        </w:rPr>
        <w:t xml:space="preserve">environmental </w:t>
      </w:r>
      <w:r w:rsidR="00CC25B4">
        <w:rPr>
          <w:rFonts w:ascii="Arial" w:hAnsi="Arial" w:cs="Arial"/>
        </w:rPr>
        <w:t xml:space="preserve">impacts </w:t>
      </w:r>
      <w:r w:rsidR="00F624C1" w:rsidRPr="006A390B">
        <w:rPr>
          <w:rFonts w:ascii="Arial" w:hAnsi="Arial" w:cs="Arial"/>
        </w:rPr>
        <w:t xml:space="preserve">and carbon </w:t>
      </w:r>
      <w:proofErr w:type="gramStart"/>
      <w:r w:rsidR="00F624C1" w:rsidRPr="006A390B">
        <w:rPr>
          <w:rFonts w:ascii="Arial" w:hAnsi="Arial" w:cs="Arial"/>
        </w:rPr>
        <w:t>emission</w:t>
      </w:r>
      <w:r w:rsidR="00CC25B4">
        <w:rPr>
          <w:rFonts w:ascii="Arial" w:hAnsi="Arial" w:cs="Arial"/>
        </w:rPr>
        <w:t>s</w:t>
      </w:r>
      <w:proofErr w:type="gramEnd"/>
    </w:p>
    <w:p w14:paraId="26AAA617" w14:textId="6066495F" w:rsidR="00BB10F0" w:rsidRPr="006A390B" w:rsidRDefault="00BB10F0" w:rsidP="006A390B">
      <w:pPr>
        <w:pStyle w:val="ListParagraph"/>
        <w:numPr>
          <w:ilvl w:val="0"/>
          <w:numId w:val="4"/>
        </w:numPr>
        <w:rPr>
          <w:rFonts w:ascii="Arial" w:hAnsi="Arial" w:cs="Arial"/>
        </w:rPr>
      </w:pPr>
      <w:r w:rsidRPr="42F95CC8">
        <w:rPr>
          <w:rFonts w:ascii="Arial" w:hAnsi="Arial" w:cs="Arial"/>
        </w:rPr>
        <w:t xml:space="preserve">Sustainable lithium hydroxide </w:t>
      </w:r>
      <w:r w:rsidR="00B92542" w:rsidRPr="42F95CC8">
        <w:rPr>
          <w:rFonts w:ascii="Arial" w:hAnsi="Arial" w:cs="Arial"/>
        </w:rPr>
        <w:t xml:space="preserve">supply will </w:t>
      </w:r>
      <w:r w:rsidRPr="42F95CC8">
        <w:rPr>
          <w:rFonts w:ascii="Arial" w:hAnsi="Arial" w:cs="Arial"/>
        </w:rPr>
        <w:t>support Stellantis</w:t>
      </w:r>
      <w:r w:rsidR="00CA70D6">
        <w:rPr>
          <w:rFonts w:ascii="Arial" w:hAnsi="Arial" w:cs="Arial"/>
        </w:rPr>
        <w:t>’</w:t>
      </w:r>
      <w:r w:rsidRPr="42F95CC8">
        <w:rPr>
          <w:rFonts w:ascii="Arial" w:hAnsi="Arial" w:cs="Arial"/>
        </w:rPr>
        <w:t xml:space="preserve"> U.S. product offensive </w:t>
      </w:r>
      <w:r w:rsidR="00894CC1">
        <w:rPr>
          <w:rFonts w:ascii="Arial" w:hAnsi="Arial" w:cs="Arial"/>
        </w:rPr>
        <w:t xml:space="preserve">and Dare Forward 2030 plan </w:t>
      </w:r>
      <w:r w:rsidRPr="42F95CC8">
        <w:rPr>
          <w:rFonts w:ascii="Arial" w:hAnsi="Arial" w:cs="Arial"/>
        </w:rPr>
        <w:t xml:space="preserve">of </w:t>
      </w:r>
      <w:r w:rsidR="00DA2C1E">
        <w:rPr>
          <w:rFonts w:ascii="Arial" w:hAnsi="Arial" w:cs="Arial"/>
        </w:rPr>
        <w:t xml:space="preserve">having </w:t>
      </w:r>
      <w:r w:rsidR="40BE5954" w:rsidRPr="42F95CC8">
        <w:rPr>
          <w:rFonts w:ascii="Arial" w:hAnsi="Arial" w:cs="Arial"/>
        </w:rPr>
        <w:t>more than</w:t>
      </w:r>
      <w:r w:rsidRPr="42F95CC8">
        <w:rPr>
          <w:rFonts w:ascii="Arial" w:hAnsi="Arial" w:cs="Arial"/>
        </w:rPr>
        <w:t xml:space="preserve"> 25 all-new battery electric vehicle (BEV) launches and 50% BEV sales by </w:t>
      </w:r>
      <w:proofErr w:type="gramStart"/>
      <w:r w:rsidRPr="42F95CC8">
        <w:rPr>
          <w:rFonts w:ascii="Arial" w:hAnsi="Arial" w:cs="Arial"/>
        </w:rPr>
        <w:t>2030</w:t>
      </w:r>
      <w:proofErr w:type="gramEnd"/>
      <w:r w:rsidR="00894CC1">
        <w:rPr>
          <w:rFonts w:ascii="Arial" w:hAnsi="Arial" w:cs="Arial"/>
        </w:rPr>
        <w:t xml:space="preserve"> </w:t>
      </w:r>
    </w:p>
    <w:p w14:paraId="7A0E9DDB" w14:textId="7606FC76" w:rsidR="00BB10F0" w:rsidRDefault="00ED6A87" w:rsidP="00663FE8">
      <w:pPr>
        <w:rPr>
          <w:rFonts w:ascii="Arial" w:hAnsi="Arial" w:cs="Arial"/>
        </w:rPr>
      </w:pPr>
      <w:r>
        <w:rPr>
          <w:rFonts w:ascii="Arial" w:hAnsi="Arial" w:cs="Arial"/>
        </w:rPr>
        <w:t>AMSTERDAM, August</w:t>
      </w:r>
      <w:r w:rsidR="0035760A">
        <w:rPr>
          <w:rFonts w:ascii="Arial" w:hAnsi="Arial" w:cs="Arial"/>
        </w:rPr>
        <w:t xml:space="preserve"> </w:t>
      </w:r>
      <w:r w:rsidR="006C21F1">
        <w:rPr>
          <w:rFonts w:ascii="Arial" w:hAnsi="Arial" w:cs="Arial"/>
        </w:rPr>
        <w:t>1</w:t>
      </w:r>
      <w:r w:rsidR="008E3D4D">
        <w:rPr>
          <w:rFonts w:ascii="Arial" w:hAnsi="Arial" w:cs="Arial"/>
        </w:rPr>
        <w:t>7</w:t>
      </w:r>
      <w:r w:rsidR="00DB7F49" w:rsidRPr="006A390B">
        <w:rPr>
          <w:rFonts w:ascii="Arial" w:hAnsi="Arial" w:cs="Arial"/>
        </w:rPr>
        <w:t>, 202</w:t>
      </w:r>
      <w:r w:rsidR="00BA7278" w:rsidRPr="006A390B">
        <w:rPr>
          <w:rFonts w:ascii="Arial" w:hAnsi="Arial" w:cs="Arial"/>
        </w:rPr>
        <w:t>3</w:t>
      </w:r>
      <w:r w:rsidR="00DB7F49" w:rsidRPr="006A390B">
        <w:rPr>
          <w:rFonts w:ascii="Arial" w:hAnsi="Arial" w:cs="Arial"/>
        </w:rPr>
        <w:t xml:space="preserve"> – </w:t>
      </w:r>
      <w:r w:rsidR="007F0624" w:rsidRPr="00801FCF">
        <w:rPr>
          <w:rFonts w:ascii="Arial" w:hAnsi="Arial" w:cs="Arial"/>
        </w:rPr>
        <w:t>Stellantis</w:t>
      </w:r>
      <w:r w:rsidR="00F9493A" w:rsidRPr="00801FCF">
        <w:rPr>
          <w:rFonts w:ascii="Arial" w:hAnsi="Arial" w:cs="Arial"/>
        </w:rPr>
        <w:t xml:space="preserve"> N.V.</w:t>
      </w:r>
      <w:r w:rsidR="00E94236">
        <w:rPr>
          <w:rFonts w:ascii="Arial" w:hAnsi="Arial" w:cs="Arial"/>
        </w:rPr>
        <w:t xml:space="preserve"> </w:t>
      </w:r>
      <w:r w:rsidR="00DB7F49" w:rsidRPr="006A390B">
        <w:rPr>
          <w:rFonts w:ascii="Arial" w:hAnsi="Arial" w:cs="Arial"/>
        </w:rPr>
        <w:t>an</w:t>
      </w:r>
      <w:r w:rsidR="00211BDA" w:rsidRPr="006A390B">
        <w:rPr>
          <w:rFonts w:ascii="Arial" w:hAnsi="Arial" w:cs="Arial"/>
        </w:rPr>
        <w:t xml:space="preserve">d </w:t>
      </w:r>
      <w:r w:rsidR="00211BDA" w:rsidRPr="00E94236">
        <w:rPr>
          <w:rFonts w:ascii="Arial" w:hAnsi="Arial" w:cs="Arial"/>
        </w:rPr>
        <w:t>Controlled Thermal Resources</w:t>
      </w:r>
      <w:r w:rsidR="00BA7278" w:rsidRPr="006A390B">
        <w:rPr>
          <w:rFonts w:ascii="Arial" w:hAnsi="Arial" w:cs="Arial"/>
        </w:rPr>
        <w:t xml:space="preserve"> Holdings </w:t>
      </w:r>
      <w:r w:rsidR="00E169F2" w:rsidRPr="006A390B">
        <w:rPr>
          <w:rFonts w:ascii="Arial" w:hAnsi="Arial" w:cs="Arial"/>
        </w:rPr>
        <w:t xml:space="preserve">Inc. </w:t>
      </w:r>
      <w:r w:rsidR="00123307" w:rsidRPr="006A390B">
        <w:rPr>
          <w:rFonts w:ascii="Arial" w:hAnsi="Arial" w:cs="Arial"/>
        </w:rPr>
        <w:t xml:space="preserve">(CTR) </w:t>
      </w:r>
      <w:r w:rsidR="001D5E70">
        <w:rPr>
          <w:rFonts w:ascii="Arial" w:hAnsi="Arial" w:cs="Arial"/>
        </w:rPr>
        <w:t xml:space="preserve">today </w:t>
      </w:r>
      <w:r w:rsidR="00F9493A" w:rsidRPr="006A390B">
        <w:rPr>
          <w:rFonts w:ascii="Arial" w:hAnsi="Arial" w:cs="Arial"/>
        </w:rPr>
        <w:t xml:space="preserve">announced </w:t>
      </w:r>
      <w:r w:rsidR="00BB10F0">
        <w:rPr>
          <w:rFonts w:ascii="Arial" w:hAnsi="Arial" w:cs="Arial"/>
        </w:rPr>
        <w:t xml:space="preserve">a </w:t>
      </w:r>
      <w:r w:rsidR="00302C96">
        <w:rPr>
          <w:rFonts w:ascii="Arial" w:hAnsi="Arial" w:cs="Arial"/>
        </w:rPr>
        <w:t xml:space="preserve">major </w:t>
      </w:r>
      <w:r w:rsidR="00BB10F0">
        <w:rPr>
          <w:rFonts w:ascii="Arial" w:hAnsi="Arial" w:cs="Arial"/>
        </w:rPr>
        <w:t>investment</w:t>
      </w:r>
      <w:r w:rsidR="00CA70D6">
        <w:rPr>
          <w:rFonts w:ascii="Arial" w:hAnsi="Arial" w:cs="Arial"/>
        </w:rPr>
        <w:t xml:space="preserve"> of over $100 million</w:t>
      </w:r>
      <w:r w:rsidR="00BB10F0">
        <w:rPr>
          <w:rFonts w:ascii="Arial" w:hAnsi="Arial" w:cs="Arial"/>
        </w:rPr>
        <w:t xml:space="preserve"> </w:t>
      </w:r>
      <w:r w:rsidR="00B92542">
        <w:rPr>
          <w:rFonts w:ascii="Arial" w:hAnsi="Arial" w:cs="Arial"/>
        </w:rPr>
        <w:t xml:space="preserve">from Stellantis </w:t>
      </w:r>
      <w:r w:rsidR="00BB10F0" w:rsidRPr="006A390B">
        <w:rPr>
          <w:rFonts w:ascii="Arial" w:hAnsi="Arial" w:cs="Arial"/>
        </w:rPr>
        <w:t xml:space="preserve">to advance </w:t>
      </w:r>
      <w:r w:rsidR="00BB10F0">
        <w:rPr>
          <w:rFonts w:ascii="Arial" w:hAnsi="Arial" w:cs="Arial"/>
        </w:rPr>
        <w:t xml:space="preserve">the </w:t>
      </w:r>
      <w:r w:rsidR="00BB10F0" w:rsidRPr="006A390B">
        <w:rPr>
          <w:rFonts w:ascii="Arial" w:hAnsi="Arial" w:cs="Arial"/>
        </w:rPr>
        <w:t xml:space="preserve">development of </w:t>
      </w:r>
      <w:r>
        <w:rPr>
          <w:rFonts w:ascii="Arial" w:hAnsi="Arial" w:cs="Arial"/>
        </w:rPr>
        <w:t xml:space="preserve">CTR’s </w:t>
      </w:r>
      <w:r w:rsidR="00BB10F0">
        <w:rPr>
          <w:rFonts w:ascii="Arial" w:hAnsi="Arial" w:cs="Arial"/>
        </w:rPr>
        <w:t>Hell’s Kitchen</w:t>
      </w:r>
      <w:r>
        <w:rPr>
          <w:rFonts w:ascii="Arial" w:hAnsi="Arial" w:cs="Arial"/>
        </w:rPr>
        <w:t xml:space="preserve"> project</w:t>
      </w:r>
      <w:r w:rsidR="00BB10F0">
        <w:rPr>
          <w:rFonts w:ascii="Arial" w:hAnsi="Arial" w:cs="Arial"/>
        </w:rPr>
        <w:t xml:space="preserve">, </w:t>
      </w:r>
      <w:r w:rsidR="00BB10F0" w:rsidRPr="006A390B">
        <w:rPr>
          <w:rFonts w:ascii="Arial" w:hAnsi="Arial" w:cs="Arial"/>
        </w:rPr>
        <w:t>the world’s largest geothermal lithium project</w:t>
      </w:r>
      <w:r w:rsidR="00BB10F0">
        <w:rPr>
          <w:rFonts w:ascii="Arial" w:hAnsi="Arial" w:cs="Arial"/>
        </w:rPr>
        <w:t xml:space="preserve"> with a total resource capacity to produce up to 300,000 metric tons of lithium carbonate equivalent each year. Lithium produced at Hell’s Kitchen will </w:t>
      </w:r>
      <w:r w:rsidR="00BB10F0" w:rsidRPr="002224B3">
        <w:rPr>
          <w:rFonts w:ascii="Arial" w:hAnsi="Arial" w:cs="Arial"/>
        </w:rPr>
        <w:t xml:space="preserve">support </w:t>
      </w:r>
      <w:r w:rsidR="00BB10F0">
        <w:rPr>
          <w:rFonts w:ascii="Arial" w:hAnsi="Arial" w:cs="Arial"/>
        </w:rPr>
        <w:t xml:space="preserve">Stellantis </w:t>
      </w:r>
      <w:r>
        <w:rPr>
          <w:rFonts w:ascii="Arial" w:hAnsi="Arial" w:cs="Arial"/>
        </w:rPr>
        <w:t>vehicles</w:t>
      </w:r>
      <w:r w:rsidR="00BB10F0">
        <w:rPr>
          <w:rFonts w:ascii="Arial" w:hAnsi="Arial" w:cs="Arial"/>
        </w:rPr>
        <w:t>’ B</w:t>
      </w:r>
      <w:r w:rsidR="00BB10F0" w:rsidRPr="002224B3">
        <w:rPr>
          <w:rFonts w:ascii="Arial" w:hAnsi="Arial" w:cs="Arial"/>
        </w:rPr>
        <w:t xml:space="preserve">EV eligibility for consumer incentives under the U.S. </w:t>
      </w:r>
      <w:r w:rsidR="00107718">
        <w:rPr>
          <w:rFonts w:ascii="Arial" w:hAnsi="Arial" w:cs="Arial"/>
        </w:rPr>
        <w:t>Inflation Reduction Act (IRA)</w:t>
      </w:r>
      <w:r w:rsidR="00BB10F0">
        <w:rPr>
          <w:rFonts w:ascii="Arial" w:hAnsi="Arial" w:cs="Arial"/>
        </w:rPr>
        <w:t>.</w:t>
      </w:r>
    </w:p>
    <w:p w14:paraId="505D860F" w14:textId="55B90BAB" w:rsidR="00625C11" w:rsidRPr="006A390B" w:rsidRDefault="00BB10F0" w:rsidP="00663FE8">
      <w:pPr>
        <w:rPr>
          <w:rFonts w:ascii="Arial" w:hAnsi="Arial" w:cs="Arial"/>
        </w:rPr>
      </w:pPr>
      <w:r w:rsidRPr="006A390B">
        <w:rPr>
          <w:rFonts w:ascii="Arial" w:hAnsi="Arial" w:cs="Arial"/>
        </w:rPr>
        <w:t xml:space="preserve">Additionally, </w:t>
      </w:r>
      <w:r>
        <w:rPr>
          <w:rFonts w:ascii="Arial" w:hAnsi="Arial" w:cs="Arial"/>
        </w:rPr>
        <w:t>the compan</w:t>
      </w:r>
      <w:r w:rsidR="00ED6A87">
        <w:rPr>
          <w:rFonts w:ascii="Arial" w:hAnsi="Arial" w:cs="Arial"/>
        </w:rPr>
        <w:t>ie</w:t>
      </w:r>
      <w:r w:rsidR="00B92542">
        <w:rPr>
          <w:rFonts w:ascii="Arial" w:hAnsi="Arial" w:cs="Arial"/>
        </w:rPr>
        <w:t>s</w:t>
      </w:r>
      <w:r>
        <w:rPr>
          <w:rFonts w:ascii="Arial" w:hAnsi="Arial" w:cs="Arial"/>
        </w:rPr>
        <w:t xml:space="preserve"> expanded the</w:t>
      </w:r>
      <w:r w:rsidR="00B92542">
        <w:rPr>
          <w:rFonts w:ascii="Arial" w:hAnsi="Arial" w:cs="Arial"/>
        </w:rPr>
        <w:t xml:space="preserve"> initial </w:t>
      </w:r>
      <w:r>
        <w:rPr>
          <w:rFonts w:ascii="Arial" w:hAnsi="Arial" w:cs="Arial"/>
        </w:rPr>
        <w:t>supply a</w:t>
      </w:r>
      <w:r w:rsidR="004B6B90" w:rsidRPr="006A390B">
        <w:rPr>
          <w:rFonts w:ascii="Arial" w:hAnsi="Arial" w:cs="Arial"/>
        </w:rPr>
        <w:t>greement</w:t>
      </w:r>
      <w:r>
        <w:rPr>
          <w:rFonts w:ascii="Arial" w:hAnsi="Arial" w:cs="Arial"/>
        </w:rPr>
        <w:t xml:space="preserve">, which now </w:t>
      </w:r>
      <w:r w:rsidR="005857CA">
        <w:rPr>
          <w:rFonts w:ascii="Arial" w:hAnsi="Arial" w:cs="Arial"/>
        </w:rPr>
        <w:t xml:space="preserve">calls </w:t>
      </w:r>
      <w:r w:rsidR="00DB7F49" w:rsidRPr="006A390B">
        <w:rPr>
          <w:rFonts w:ascii="Arial" w:hAnsi="Arial" w:cs="Arial"/>
        </w:rPr>
        <w:t xml:space="preserve">for </w:t>
      </w:r>
      <w:r w:rsidR="00123307" w:rsidRPr="006A390B">
        <w:rPr>
          <w:rFonts w:ascii="Arial" w:hAnsi="Arial" w:cs="Arial"/>
        </w:rPr>
        <w:t>CTR</w:t>
      </w:r>
      <w:r w:rsidR="00DB7F49" w:rsidRPr="006A390B">
        <w:rPr>
          <w:rFonts w:ascii="Arial" w:hAnsi="Arial" w:cs="Arial"/>
        </w:rPr>
        <w:t xml:space="preserve"> to</w:t>
      </w:r>
      <w:r w:rsidR="005B04D5">
        <w:rPr>
          <w:rFonts w:ascii="Arial" w:hAnsi="Arial" w:cs="Arial"/>
        </w:rPr>
        <w:t xml:space="preserve"> </w:t>
      </w:r>
      <w:r w:rsidR="00DB7F49" w:rsidRPr="006A390B">
        <w:rPr>
          <w:rFonts w:ascii="Arial" w:hAnsi="Arial" w:cs="Arial"/>
        </w:rPr>
        <w:t xml:space="preserve">supply </w:t>
      </w:r>
      <w:r w:rsidR="001D6609">
        <w:rPr>
          <w:rFonts w:ascii="Arial" w:hAnsi="Arial" w:cs="Arial"/>
        </w:rPr>
        <w:t xml:space="preserve">up to </w:t>
      </w:r>
      <w:r w:rsidR="00B6394E">
        <w:rPr>
          <w:rFonts w:ascii="Arial" w:hAnsi="Arial" w:cs="Arial"/>
        </w:rPr>
        <w:t>6</w:t>
      </w:r>
      <w:r w:rsidR="001D6609">
        <w:rPr>
          <w:rFonts w:ascii="Arial" w:hAnsi="Arial" w:cs="Arial"/>
        </w:rPr>
        <w:t>5</w:t>
      </w:r>
      <w:r w:rsidR="00B6394E">
        <w:rPr>
          <w:rFonts w:ascii="Arial" w:hAnsi="Arial" w:cs="Arial"/>
        </w:rPr>
        <w:t xml:space="preserve">,000 metric tons of </w:t>
      </w:r>
      <w:r w:rsidR="00DB7F49" w:rsidRPr="006A390B">
        <w:rPr>
          <w:rFonts w:ascii="Arial" w:hAnsi="Arial" w:cs="Arial"/>
        </w:rPr>
        <w:t>battery</w:t>
      </w:r>
      <w:r w:rsidR="004B6B90" w:rsidRPr="006A390B">
        <w:rPr>
          <w:rFonts w:ascii="Arial" w:hAnsi="Arial" w:cs="Arial"/>
        </w:rPr>
        <w:t>-</w:t>
      </w:r>
      <w:r w:rsidR="00DB7F49" w:rsidRPr="006A390B">
        <w:rPr>
          <w:rFonts w:ascii="Arial" w:hAnsi="Arial" w:cs="Arial"/>
        </w:rPr>
        <w:t>grade lithium hydroxide</w:t>
      </w:r>
      <w:r w:rsidR="005A5BEE">
        <w:rPr>
          <w:rFonts w:ascii="Arial" w:hAnsi="Arial" w:cs="Arial"/>
        </w:rPr>
        <w:t xml:space="preserve"> </w:t>
      </w:r>
      <w:r w:rsidR="00D139B2">
        <w:rPr>
          <w:rFonts w:ascii="Arial" w:hAnsi="Arial" w:cs="Arial"/>
        </w:rPr>
        <w:t>monohydrate</w:t>
      </w:r>
      <w:r w:rsidR="00B32705">
        <w:rPr>
          <w:rFonts w:ascii="Arial" w:hAnsi="Arial" w:cs="Arial"/>
        </w:rPr>
        <w:t xml:space="preserve"> (LHM)</w:t>
      </w:r>
      <w:r w:rsidR="00D139B2">
        <w:rPr>
          <w:rFonts w:ascii="Arial" w:hAnsi="Arial" w:cs="Arial"/>
        </w:rPr>
        <w:t xml:space="preserve"> </w:t>
      </w:r>
      <w:r w:rsidR="00B32705" w:rsidRPr="00B32705">
        <w:rPr>
          <w:rFonts w:ascii="Arial" w:hAnsi="Arial" w:cs="Arial"/>
        </w:rPr>
        <w:t>each year over a 10-year contract term.</w:t>
      </w:r>
      <w:r>
        <w:rPr>
          <w:rFonts w:ascii="Arial" w:hAnsi="Arial" w:cs="Arial"/>
        </w:rPr>
        <w:t xml:space="preserve"> </w:t>
      </w:r>
      <w:r w:rsidR="00B32705">
        <w:rPr>
          <w:rFonts w:ascii="Arial" w:hAnsi="Arial" w:cs="Arial"/>
        </w:rPr>
        <w:t>This new agreement incorporates the original lithium supply agreement signed by both companies in June 2022 for up to 25,000 metric tons of LHM per year</w:t>
      </w:r>
      <w:r w:rsidR="00B32705" w:rsidRPr="006A390B">
        <w:rPr>
          <w:rFonts w:ascii="Arial" w:hAnsi="Arial" w:cs="Arial"/>
        </w:rPr>
        <w:t>.</w:t>
      </w:r>
      <w:r w:rsidR="00B32705">
        <w:rPr>
          <w:rFonts w:ascii="Arial" w:hAnsi="Arial" w:cs="Arial"/>
        </w:rPr>
        <w:t xml:space="preserve"> </w:t>
      </w:r>
    </w:p>
    <w:p w14:paraId="5A29B3E9" w14:textId="4FD9A39E" w:rsidR="008711F6" w:rsidRDefault="00BA7278" w:rsidP="00663FE8">
      <w:pPr>
        <w:rPr>
          <w:rFonts w:ascii="Arial" w:hAnsi="Arial" w:cs="Arial"/>
        </w:rPr>
      </w:pPr>
      <w:r w:rsidRPr="006A390B">
        <w:rPr>
          <w:rFonts w:ascii="Arial" w:hAnsi="Arial" w:cs="Arial"/>
        </w:rPr>
        <w:t>CTR</w:t>
      </w:r>
      <w:r w:rsidR="0019432C" w:rsidRPr="006A390B">
        <w:rPr>
          <w:rFonts w:ascii="Arial" w:hAnsi="Arial" w:cs="Arial"/>
        </w:rPr>
        <w:t>’s</w:t>
      </w:r>
      <w:r w:rsidR="00F55FA4" w:rsidRPr="006A390B">
        <w:rPr>
          <w:rFonts w:ascii="Arial" w:hAnsi="Arial" w:cs="Arial"/>
        </w:rPr>
        <w:t xml:space="preserve"> </w:t>
      </w:r>
      <w:r w:rsidR="00786615" w:rsidRPr="006A390B">
        <w:rPr>
          <w:rFonts w:ascii="Arial" w:hAnsi="Arial" w:cs="Arial"/>
        </w:rPr>
        <w:t xml:space="preserve">Hell’s Kitchen </w:t>
      </w:r>
      <w:r w:rsidR="005857CA">
        <w:rPr>
          <w:rFonts w:ascii="Arial" w:hAnsi="Arial" w:cs="Arial"/>
        </w:rPr>
        <w:t>p</w:t>
      </w:r>
      <w:r w:rsidRPr="006A390B">
        <w:rPr>
          <w:rFonts w:ascii="Arial" w:hAnsi="Arial" w:cs="Arial"/>
        </w:rPr>
        <w:t xml:space="preserve">roject in </w:t>
      </w:r>
      <w:r w:rsidR="00980D9E" w:rsidRPr="006A390B">
        <w:rPr>
          <w:rFonts w:ascii="Arial" w:hAnsi="Arial" w:cs="Arial"/>
        </w:rPr>
        <w:t xml:space="preserve">California’s Imperial </w:t>
      </w:r>
      <w:r w:rsidR="00786615" w:rsidRPr="006A390B">
        <w:rPr>
          <w:rFonts w:ascii="Arial" w:hAnsi="Arial" w:cs="Arial"/>
        </w:rPr>
        <w:t>County</w:t>
      </w:r>
      <w:r w:rsidR="00980D9E" w:rsidRPr="006A390B">
        <w:rPr>
          <w:rFonts w:ascii="Arial" w:hAnsi="Arial" w:cs="Arial"/>
        </w:rPr>
        <w:t xml:space="preserve"> </w:t>
      </w:r>
      <w:r w:rsidR="0071156E" w:rsidRPr="006A390B">
        <w:rPr>
          <w:rFonts w:ascii="Arial" w:hAnsi="Arial" w:cs="Arial"/>
        </w:rPr>
        <w:t xml:space="preserve">will </w:t>
      </w:r>
      <w:r w:rsidR="00B31E73" w:rsidRPr="006A390B">
        <w:rPr>
          <w:rFonts w:ascii="Arial" w:hAnsi="Arial" w:cs="Arial"/>
        </w:rPr>
        <w:t>recover</w:t>
      </w:r>
      <w:r w:rsidR="003C0EBE" w:rsidRPr="006A390B">
        <w:rPr>
          <w:rFonts w:ascii="Arial" w:hAnsi="Arial" w:cs="Arial"/>
        </w:rPr>
        <w:t xml:space="preserve"> </w:t>
      </w:r>
      <w:r w:rsidR="00D3455C" w:rsidRPr="006A390B">
        <w:rPr>
          <w:rFonts w:ascii="Arial" w:hAnsi="Arial" w:cs="Arial"/>
        </w:rPr>
        <w:t>lithium</w:t>
      </w:r>
      <w:r w:rsidR="004F0A2C" w:rsidRPr="006A390B">
        <w:rPr>
          <w:rFonts w:ascii="Arial" w:hAnsi="Arial" w:cs="Arial"/>
        </w:rPr>
        <w:t xml:space="preserve"> </w:t>
      </w:r>
      <w:r w:rsidR="003C0EBE" w:rsidRPr="006A390B">
        <w:rPr>
          <w:rFonts w:ascii="Arial" w:hAnsi="Arial" w:cs="Arial"/>
        </w:rPr>
        <w:t>from</w:t>
      </w:r>
      <w:r w:rsidR="00F62C02" w:rsidRPr="006A390B">
        <w:rPr>
          <w:rFonts w:ascii="Arial" w:hAnsi="Arial" w:cs="Arial"/>
        </w:rPr>
        <w:t xml:space="preserve"> </w:t>
      </w:r>
      <w:r w:rsidR="00980D9E" w:rsidRPr="006A390B">
        <w:rPr>
          <w:rFonts w:ascii="Arial" w:hAnsi="Arial" w:cs="Arial"/>
        </w:rPr>
        <w:t>geothermal brine</w:t>
      </w:r>
      <w:r w:rsidR="003C0EBE" w:rsidRPr="006A390B">
        <w:rPr>
          <w:rFonts w:ascii="Arial" w:hAnsi="Arial" w:cs="Arial"/>
        </w:rPr>
        <w:t>s</w:t>
      </w:r>
      <w:r w:rsidR="00D019D7" w:rsidRPr="006A390B">
        <w:rPr>
          <w:rFonts w:ascii="Arial" w:hAnsi="Arial" w:cs="Arial"/>
        </w:rPr>
        <w:t xml:space="preserve"> </w:t>
      </w:r>
      <w:r w:rsidR="00F75BDD" w:rsidRPr="006A390B">
        <w:rPr>
          <w:rFonts w:ascii="Arial" w:hAnsi="Arial" w:cs="Arial"/>
        </w:rPr>
        <w:t>u</w:t>
      </w:r>
      <w:r w:rsidR="005857CA">
        <w:rPr>
          <w:rFonts w:ascii="Arial" w:hAnsi="Arial" w:cs="Arial"/>
        </w:rPr>
        <w:t>sing</w:t>
      </w:r>
      <w:r w:rsidR="00F75BDD" w:rsidRPr="006A390B">
        <w:rPr>
          <w:rFonts w:ascii="Arial" w:hAnsi="Arial" w:cs="Arial"/>
        </w:rPr>
        <w:t xml:space="preserve"> renewable energy and steam to produce </w:t>
      </w:r>
      <w:r w:rsidR="009177FB">
        <w:rPr>
          <w:rFonts w:ascii="Arial" w:hAnsi="Arial" w:cs="Arial"/>
        </w:rPr>
        <w:t xml:space="preserve">truly “green” </w:t>
      </w:r>
      <w:r w:rsidR="00F75BDD" w:rsidRPr="006A390B">
        <w:rPr>
          <w:rFonts w:ascii="Arial" w:hAnsi="Arial" w:cs="Arial"/>
        </w:rPr>
        <w:t>battery</w:t>
      </w:r>
      <w:r w:rsidR="008A4D9F" w:rsidRPr="006A390B">
        <w:rPr>
          <w:rFonts w:ascii="Arial" w:hAnsi="Arial" w:cs="Arial"/>
        </w:rPr>
        <w:t>-</w:t>
      </w:r>
      <w:r w:rsidR="00F75BDD" w:rsidRPr="006A390B">
        <w:rPr>
          <w:rFonts w:ascii="Arial" w:hAnsi="Arial" w:cs="Arial"/>
        </w:rPr>
        <w:t xml:space="preserve">grade lithium </w:t>
      </w:r>
      <w:r w:rsidR="00841261">
        <w:rPr>
          <w:rFonts w:ascii="Arial" w:hAnsi="Arial" w:cs="Arial"/>
        </w:rPr>
        <w:t>products</w:t>
      </w:r>
      <w:r w:rsidR="00F75BDD" w:rsidRPr="006A390B">
        <w:rPr>
          <w:rFonts w:ascii="Arial" w:hAnsi="Arial" w:cs="Arial"/>
        </w:rPr>
        <w:t xml:space="preserve"> in a</w:t>
      </w:r>
      <w:r w:rsidR="008A4D9F" w:rsidRPr="006A390B">
        <w:rPr>
          <w:rFonts w:ascii="Arial" w:hAnsi="Arial" w:cs="Arial"/>
        </w:rPr>
        <w:t xml:space="preserve"> fully</w:t>
      </w:r>
      <w:r w:rsidR="00F75BDD" w:rsidRPr="006A390B">
        <w:rPr>
          <w:rFonts w:ascii="Arial" w:hAnsi="Arial" w:cs="Arial"/>
        </w:rPr>
        <w:t xml:space="preserve"> integrated</w:t>
      </w:r>
      <w:r w:rsidR="00CC6C0F">
        <w:rPr>
          <w:rFonts w:ascii="Arial" w:hAnsi="Arial" w:cs="Arial"/>
        </w:rPr>
        <w:t xml:space="preserve"> </w:t>
      </w:r>
      <w:r w:rsidR="00F75BDD" w:rsidRPr="006A390B">
        <w:rPr>
          <w:rFonts w:ascii="Arial" w:hAnsi="Arial" w:cs="Arial"/>
        </w:rPr>
        <w:t>process</w:t>
      </w:r>
      <w:r w:rsidR="005857CA">
        <w:rPr>
          <w:rFonts w:ascii="Arial" w:hAnsi="Arial" w:cs="Arial"/>
        </w:rPr>
        <w:t xml:space="preserve">. This eliminates </w:t>
      </w:r>
      <w:r w:rsidR="00F75BDD" w:rsidRPr="006A390B">
        <w:rPr>
          <w:rFonts w:ascii="Arial" w:hAnsi="Arial" w:cs="Arial"/>
        </w:rPr>
        <w:t xml:space="preserve">the need for evaporation brine ponds, open pit mines and fossil-fueled </w:t>
      </w:r>
      <w:r w:rsidR="005C6089">
        <w:rPr>
          <w:rFonts w:ascii="Arial" w:hAnsi="Arial" w:cs="Arial"/>
        </w:rPr>
        <w:t xml:space="preserve">lithium </w:t>
      </w:r>
      <w:r w:rsidR="00F75BDD" w:rsidRPr="006A390B">
        <w:rPr>
          <w:rFonts w:ascii="Arial" w:hAnsi="Arial" w:cs="Arial"/>
        </w:rPr>
        <w:t>processing.</w:t>
      </w:r>
      <w:r w:rsidR="00903BCD">
        <w:rPr>
          <w:rFonts w:ascii="Arial" w:hAnsi="Arial" w:cs="Arial"/>
        </w:rPr>
        <w:t xml:space="preserve"> </w:t>
      </w:r>
    </w:p>
    <w:p w14:paraId="21896563" w14:textId="3454D3A9" w:rsidR="00B14724" w:rsidRDefault="00B14724" w:rsidP="005C6089">
      <w:pPr>
        <w:rPr>
          <w:rFonts w:ascii="Arial" w:hAnsi="Arial" w:cs="Arial"/>
        </w:rPr>
      </w:pPr>
      <w:r>
        <w:rPr>
          <w:rFonts w:ascii="Arial" w:hAnsi="Arial" w:cs="Arial"/>
        </w:rPr>
        <w:t xml:space="preserve">“The foundation of our industry-leading decarbonization drive includes low-emissions production and </w:t>
      </w:r>
      <w:r w:rsidR="00894CC1">
        <w:rPr>
          <w:rFonts w:ascii="Arial" w:hAnsi="Arial" w:cs="Arial"/>
        </w:rPr>
        <w:t xml:space="preserve">sustainable </w:t>
      </w:r>
      <w:r>
        <w:rPr>
          <w:rFonts w:ascii="Arial" w:hAnsi="Arial" w:cs="Arial"/>
        </w:rPr>
        <w:t xml:space="preserve">supply </w:t>
      </w:r>
      <w:r w:rsidR="00ED6A87">
        <w:rPr>
          <w:rFonts w:ascii="Arial" w:hAnsi="Arial" w:cs="Arial"/>
        </w:rPr>
        <w:t>as</w:t>
      </w:r>
      <w:r>
        <w:rPr>
          <w:rFonts w:ascii="Arial" w:hAnsi="Arial" w:cs="Arial"/>
        </w:rPr>
        <w:t xml:space="preserve"> the building blocks for our </w:t>
      </w:r>
      <w:r w:rsidR="005F36E6">
        <w:rPr>
          <w:rFonts w:ascii="Arial" w:hAnsi="Arial" w:cs="Arial"/>
        </w:rPr>
        <w:t>electric vehicles</w:t>
      </w:r>
      <w:r>
        <w:rPr>
          <w:rFonts w:ascii="Arial" w:hAnsi="Arial" w:cs="Arial"/>
        </w:rPr>
        <w:t xml:space="preserve">,” Stellantis </w:t>
      </w:r>
      <w:r w:rsidR="005F36E6">
        <w:rPr>
          <w:rFonts w:ascii="Arial" w:hAnsi="Arial" w:cs="Arial"/>
        </w:rPr>
        <w:t>CEO Carlos Tavares</w:t>
      </w:r>
      <w:r>
        <w:rPr>
          <w:rFonts w:ascii="Arial" w:hAnsi="Arial" w:cs="Arial"/>
        </w:rPr>
        <w:t xml:space="preserve"> said. “</w:t>
      </w:r>
      <w:r w:rsidR="00B32705">
        <w:rPr>
          <w:rFonts w:ascii="Arial" w:hAnsi="Arial" w:cs="Arial"/>
        </w:rPr>
        <w:t xml:space="preserve">The latest </w:t>
      </w:r>
      <w:r>
        <w:rPr>
          <w:rFonts w:ascii="Arial" w:hAnsi="Arial" w:cs="Arial"/>
        </w:rPr>
        <w:t xml:space="preserve">agreement with CTR is an important step </w:t>
      </w:r>
      <w:r w:rsidR="00B72E65">
        <w:rPr>
          <w:rFonts w:ascii="Arial" w:hAnsi="Arial" w:cs="Arial"/>
        </w:rPr>
        <w:t>in our care for our customers and our planet as we work to provide clean, safe and affordable mobility</w:t>
      </w:r>
      <w:r w:rsidR="00894CC1">
        <w:rPr>
          <w:rFonts w:ascii="Arial" w:hAnsi="Arial" w:cs="Arial"/>
        </w:rPr>
        <w:t xml:space="preserve"> in North America</w:t>
      </w:r>
      <w:r w:rsidR="00B72E65">
        <w:rPr>
          <w:rFonts w:ascii="Arial" w:hAnsi="Arial" w:cs="Arial"/>
        </w:rPr>
        <w:t>.”</w:t>
      </w:r>
    </w:p>
    <w:p w14:paraId="24A872D4" w14:textId="13FECC32" w:rsidR="00123307" w:rsidRPr="00894CC1" w:rsidRDefault="004A5391" w:rsidP="00663FE8">
      <w:pPr>
        <w:rPr>
          <w:rFonts w:ascii="Arial" w:hAnsi="Arial" w:cs="Arial"/>
        </w:rPr>
      </w:pPr>
      <w:r w:rsidRPr="00894CC1">
        <w:rPr>
          <w:rFonts w:ascii="Arial" w:hAnsi="Arial" w:cs="Arial"/>
        </w:rPr>
        <w:t xml:space="preserve">As part of the Dare Forward 2030 strategic plan, Stellantis announced plans of reaching a 100% passenger car BEV sales mix in Europe and 50% passenger car and light-duty </w:t>
      </w:r>
      <w:r w:rsidRPr="00894CC1">
        <w:rPr>
          <w:rFonts w:ascii="Arial" w:hAnsi="Arial" w:cs="Arial"/>
        </w:rPr>
        <w:lastRenderedPageBreak/>
        <w:t>truck BEV sales mix in the United States by 2030. To achieve these sales targets, the Company is securing approximately 400 GWh of battery capacity, supported by six battery manufacturing plants in North America and Europe. Stellantis is on track to become a carbon net zero corporation by 2038, all scopes included, with single-digit percentage compensation of remaining emissions.</w:t>
      </w:r>
    </w:p>
    <w:p w14:paraId="3E3D16E0" w14:textId="43177518" w:rsidR="00F45D3D" w:rsidRDefault="00BA7278" w:rsidP="00F45D3D">
      <w:pPr>
        <w:rPr>
          <w:rFonts w:ascii="Arial" w:hAnsi="Arial" w:cs="Arial"/>
        </w:rPr>
      </w:pPr>
      <w:r w:rsidRPr="00850FB4">
        <w:rPr>
          <w:rFonts w:ascii="Arial" w:hAnsi="Arial" w:cs="Arial"/>
        </w:rPr>
        <w:t>“</w:t>
      </w:r>
      <w:r w:rsidR="00DA06CE" w:rsidRPr="00850FB4">
        <w:rPr>
          <w:rFonts w:ascii="Arial" w:hAnsi="Arial" w:cs="Arial"/>
        </w:rPr>
        <w:t>Th</w:t>
      </w:r>
      <w:r w:rsidR="00FD2BF9">
        <w:rPr>
          <w:rFonts w:ascii="Arial" w:hAnsi="Arial" w:cs="Arial"/>
        </w:rPr>
        <w:t>is</w:t>
      </w:r>
      <w:r w:rsidR="00E56C6E" w:rsidRPr="00850FB4">
        <w:rPr>
          <w:rFonts w:ascii="Arial" w:hAnsi="Arial" w:cs="Arial"/>
        </w:rPr>
        <w:t xml:space="preserve"> substantial</w:t>
      </w:r>
      <w:r w:rsidR="00BC0A5F" w:rsidRPr="00850FB4">
        <w:rPr>
          <w:rFonts w:ascii="Arial" w:hAnsi="Arial" w:cs="Arial"/>
        </w:rPr>
        <w:t xml:space="preserve"> investment in</w:t>
      </w:r>
      <w:r w:rsidR="00D55484" w:rsidRPr="00850FB4">
        <w:rPr>
          <w:rFonts w:ascii="Arial" w:hAnsi="Arial" w:cs="Arial"/>
        </w:rPr>
        <w:t xml:space="preserve"> </w:t>
      </w:r>
      <w:r w:rsidR="002D0FD5" w:rsidRPr="00850FB4">
        <w:rPr>
          <w:rFonts w:ascii="Arial" w:hAnsi="Arial" w:cs="Arial"/>
        </w:rPr>
        <w:t xml:space="preserve">CTR </w:t>
      </w:r>
      <w:r w:rsidR="00DA06CE" w:rsidRPr="00850FB4">
        <w:rPr>
          <w:rFonts w:ascii="Arial" w:hAnsi="Arial" w:cs="Arial"/>
        </w:rPr>
        <w:t xml:space="preserve">by Stellantis </w:t>
      </w:r>
      <w:r w:rsidR="0065014B" w:rsidRPr="00850FB4">
        <w:rPr>
          <w:rFonts w:ascii="Arial" w:hAnsi="Arial" w:cs="Arial"/>
        </w:rPr>
        <w:t xml:space="preserve">marks </w:t>
      </w:r>
      <w:r w:rsidR="005C0B50">
        <w:rPr>
          <w:rFonts w:ascii="Arial" w:hAnsi="Arial" w:cs="Arial"/>
        </w:rPr>
        <w:t>an outstanding</w:t>
      </w:r>
      <w:r w:rsidR="000079C0" w:rsidRPr="00850FB4">
        <w:rPr>
          <w:rFonts w:ascii="Arial" w:hAnsi="Arial" w:cs="Arial"/>
        </w:rPr>
        <w:t xml:space="preserve"> </w:t>
      </w:r>
      <w:r w:rsidR="00D97182" w:rsidRPr="00850FB4">
        <w:rPr>
          <w:rFonts w:ascii="Arial" w:hAnsi="Arial" w:cs="Arial"/>
        </w:rPr>
        <w:t>milestone for</w:t>
      </w:r>
      <w:r w:rsidR="000079C0" w:rsidRPr="00850FB4">
        <w:rPr>
          <w:rFonts w:ascii="Arial" w:hAnsi="Arial" w:cs="Arial"/>
        </w:rPr>
        <w:t xml:space="preserve"> </w:t>
      </w:r>
      <w:r w:rsidR="00D97182" w:rsidRPr="00850FB4">
        <w:rPr>
          <w:rFonts w:ascii="Arial" w:hAnsi="Arial" w:cs="Arial"/>
        </w:rPr>
        <w:t xml:space="preserve">our company </w:t>
      </w:r>
      <w:r w:rsidR="00666FAA" w:rsidRPr="00850FB4">
        <w:rPr>
          <w:rFonts w:ascii="Arial" w:hAnsi="Arial" w:cs="Arial"/>
        </w:rPr>
        <w:t xml:space="preserve">and </w:t>
      </w:r>
      <w:r w:rsidR="00696AE3" w:rsidRPr="00850FB4">
        <w:rPr>
          <w:rFonts w:ascii="Arial" w:hAnsi="Arial" w:cs="Arial"/>
        </w:rPr>
        <w:t>further solidifies</w:t>
      </w:r>
      <w:r w:rsidR="003324CA" w:rsidRPr="00850FB4">
        <w:rPr>
          <w:rFonts w:ascii="Arial" w:hAnsi="Arial" w:cs="Arial"/>
        </w:rPr>
        <w:t xml:space="preserve"> </w:t>
      </w:r>
      <w:r w:rsidR="00322620" w:rsidRPr="00850FB4">
        <w:rPr>
          <w:rFonts w:ascii="Arial" w:hAnsi="Arial" w:cs="Arial"/>
        </w:rPr>
        <w:t xml:space="preserve">our efforts to </w:t>
      </w:r>
      <w:r w:rsidR="002D6FDA" w:rsidRPr="00850FB4">
        <w:rPr>
          <w:rFonts w:ascii="Arial" w:hAnsi="Arial" w:cs="Arial"/>
        </w:rPr>
        <w:t>support</w:t>
      </w:r>
      <w:r w:rsidR="00C85CA7" w:rsidRPr="00850FB4">
        <w:rPr>
          <w:rFonts w:ascii="Arial" w:hAnsi="Arial" w:cs="Arial"/>
        </w:rPr>
        <w:t xml:space="preserve"> sustainable electric </w:t>
      </w:r>
      <w:r w:rsidR="00AB63E5" w:rsidRPr="00850FB4">
        <w:rPr>
          <w:rFonts w:ascii="Arial" w:hAnsi="Arial" w:cs="Arial"/>
        </w:rPr>
        <w:t xml:space="preserve">vehicle </w:t>
      </w:r>
      <w:r w:rsidR="00F05378">
        <w:rPr>
          <w:rFonts w:ascii="Arial" w:hAnsi="Arial" w:cs="Arial"/>
        </w:rPr>
        <w:t>battery production</w:t>
      </w:r>
      <w:r w:rsidR="00AB63E5" w:rsidRPr="00850FB4">
        <w:rPr>
          <w:rFonts w:ascii="Arial" w:hAnsi="Arial" w:cs="Arial"/>
        </w:rPr>
        <w:t>,</w:t>
      </w:r>
      <w:r w:rsidRPr="00850FB4">
        <w:rPr>
          <w:rFonts w:ascii="Arial" w:hAnsi="Arial" w:cs="Arial"/>
        </w:rPr>
        <w:t xml:space="preserve">” </w:t>
      </w:r>
      <w:r w:rsidR="00AB63E5" w:rsidRPr="00850FB4">
        <w:rPr>
          <w:rFonts w:ascii="Arial" w:hAnsi="Arial" w:cs="Arial"/>
        </w:rPr>
        <w:t xml:space="preserve">CTR Chief Executive Officer </w:t>
      </w:r>
      <w:r w:rsidRPr="00850FB4">
        <w:rPr>
          <w:rFonts w:ascii="Arial" w:hAnsi="Arial" w:cs="Arial"/>
        </w:rPr>
        <w:t>Rod Colwell</w:t>
      </w:r>
      <w:r w:rsidR="00AB63E5" w:rsidRPr="00850FB4">
        <w:rPr>
          <w:rFonts w:ascii="Arial" w:hAnsi="Arial" w:cs="Arial"/>
        </w:rPr>
        <w:t xml:space="preserve"> said</w:t>
      </w:r>
      <w:r w:rsidRPr="00850FB4">
        <w:rPr>
          <w:rFonts w:ascii="Arial" w:hAnsi="Arial" w:cs="Arial"/>
        </w:rPr>
        <w:t>. “</w:t>
      </w:r>
      <w:r w:rsidR="009B590D" w:rsidRPr="00850FB4">
        <w:rPr>
          <w:rFonts w:ascii="Arial" w:hAnsi="Arial" w:cs="Arial"/>
        </w:rPr>
        <w:t>With electric vehicle adoption growing rapidly in the U.S. and throughout the world, it has never been more important</w:t>
      </w:r>
      <w:r>
        <w:rPr>
          <w:rFonts w:ascii="Arial" w:hAnsi="Arial" w:cs="Arial"/>
        </w:rPr>
        <w:t xml:space="preserve"> </w:t>
      </w:r>
      <w:r w:rsidR="009B590D" w:rsidRPr="00850FB4">
        <w:rPr>
          <w:rFonts w:ascii="Arial" w:hAnsi="Arial" w:cs="Arial"/>
        </w:rPr>
        <w:t xml:space="preserve">to </w:t>
      </w:r>
      <w:r w:rsidR="00131912" w:rsidRPr="00850FB4">
        <w:rPr>
          <w:rFonts w:ascii="Arial" w:hAnsi="Arial" w:cs="Arial"/>
        </w:rPr>
        <w:t xml:space="preserve">ensure battery materials are sourced </w:t>
      </w:r>
      <w:r w:rsidR="0008112B" w:rsidRPr="00850FB4">
        <w:rPr>
          <w:rFonts w:ascii="Arial" w:hAnsi="Arial" w:cs="Arial"/>
        </w:rPr>
        <w:t xml:space="preserve">and produced </w:t>
      </w:r>
      <w:r w:rsidR="005F2291" w:rsidRPr="00850FB4">
        <w:rPr>
          <w:rFonts w:ascii="Arial" w:hAnsi="Arial" w:cs="Arial"/>
        </w:rPr>
        <w:t>responsibly</w:t>
      </w:r>
      <w:r w:rsidR="008516C3">
        <w:rPr>
          <w:rFonts w:ascii="Arial" w:hAnsi="Arial" w:cs="Arial"/>
        </w:rPr>
        <w:t>. T</w:t>
      </w:r>
      <w:r w:rsidR="00250FEA">
        <w:rPr>
          <w:rFonts w:ascii="Arial" w:hAnsi="Arial" w:cs="Arial"/>
        </w:rPr>
        <w:t>hrough l</w:t>
      </w:r>
      <w:r w:rsidR="004A3C32">
        <w:rPr>
          <w:rFonts w:ascii="Arial" w:hAnsi="Arial" w:cs="Arial"/>
        </w:rPr>
        <w:t>ocaliz</w:t>
      </w:r>
      <w:r>
        <w:rPr>
          <w:rFonts w:ascii="Arial" w:hAnsi="Arial" w:cs="Arial"/>
        </w:rPr>
        <w:t>ing</w:t>
      </w:r>
      <w:r w:rsidR="004A3C32">
        <w:rPr>
          <w:rFonts w:ascii="Arial" w:hAnsi="Arial" w:cs="Arial"/>
        </w:rPr>
        <w:t xml:space="preserve"> </w:t>
      </w:r>
      <w:r w:rsidR="00A138A7">
        <w:rPr>
          <w:rFonts w:ascii="Arial" w:hAnsi="Arial" w:cs="Arial"/>
        </w:rPr>
        <w:t xml:space="preserve">the </w:t>
      </w:r>
      <w:r w:rsidR="009B6444">
        <w:rPr>
          <w:rFonts w:ascii="Arial" w:hAnsi="Arial" w:cs="Arial"/>
        </w:rPr>
        <w:t>battery</w:t>
      </w:r>
      <w:r w:rsidR="00A138A7">
        <w:rPr>
          <w:rFonts w:ascii="Arial" w:hAnsi="Arial" w:cs="Arial"/>
        </w:rPr>
        <w:t xml:space="preserve"> </w:t>
      </w:r>
      <w:r w:rsidR="004A3C32">
        <w:rPr>
          <w:rFonts w:ascii="Arial" w:hAnsi="Arial" w:cs="Arial"/>
        </w:rPr>
        <w:t>supply</w:t>
      </w:r>
      <w:r w:rsidR="004C1A93">
        <w:rPr>
          <w:rFonts w:ascii="Arial" w:hAnsi="Arial" w:cs="Arial"/>
        </w:rPr>
        <w:t xml:space="preserve"> </w:t>
      </w:r>
      <w:r w:rsidR="004A3C32">
        <w:rPr>
          <w:rFonts w:ascii="Arial" w:hAnsi="Arial" w:cs="Arial"/>
        </w:rPr>
        <w:t>chain</w:t>
      </w:r>
      <w:r w:rsidR="008C0301">
        <w:rPr>
          <w:rFonts w:ascii="Arial" w:hAnsi="Arial" w:cs="Arial"/>
        </w:rPr>
        <w:t xml:space="preserve">, we can </w:t>
      </w:r>
      <w:r w:rsidR="001A5181">
        <w:rPr>
          <w:rFonts w:ascii="Arial" w:hAnsi="Arial" w:cs="Arial"/>
        </w:rPr>
        <w:t xml:space="preserve">minimize supply chain </w:t>
      </w:r>
      <w:r w:rsidR="008516C3">
        <w:rPr>
          <w:rFonts w:ascii="Arial" w:hAnsi="Arial" w:cs="Arial"/>
        </w:rPr>
        <w:t xml:space="preserve">risk and </w:t>
      </w:r>
      <w:r w:rsidR="00EC0C9B">
        <w:rPr>
          <w:rFonts w:ascii="Arial" w:hAnsi="Arial" w:cs="Arial"/>
        </w:rPr>
        <w:t>create</w:t>
      </w:r>
      <w:r w:rsidR="00250FEA">
        <w:rPr>
          <w:rFonts w:ascii="Arial" w:hAnsi="Arial" w:cs="Arial"/>
        </w:rPr>
        <w:t xml:space="preserve"> thousands of jobs in </w:t>
      </w:r>
      <w:r w:rsidR="004A3C32">
        <w:rPr>
          <w:rFonts w:ascii="Arial" w:hAnsi="Arial" w:cs="Arial"/>
        </w:rPr>
        <w:t xml:space="preserve">a </w:t>
      </w:r>
      <w:r w:rsidR="00302C96">
        <w:rPr>
          <w:rFonts w:ascii="Arial" w:hAnsi="Arial" w:cs="Arial"/>
        </w:rPr>
        <w:t>disadvantag</w:t>
      </w:r>
      <w:r w:rsidR="005F36E6">
        <w:rPr>
          <w:rFonts w:ascii="Arial" w:hAnsi="Arial" w:cs="Arial"/>
        </w:rPr>
        <w:t>ed</w:t>
      </w:r>
      <w:r w:rsidR="00302C96">
        <w:rPr>
          <w:rFonts w:ascii="Arial" w:hAnsi="Arial" w:cs="Arial"/>
        </w:rPr>
        <w:t xml:space="preserve"> community.</w:t>
      </w:r>
      <w:r w:rsidR="004A3C32">
        <w:rPr>
          <w:rFonts w:ascii="Arial" w:hAnsi="Arial" w:cs="Arial"/>
        </w:rPr>
        <w:t xml:space="preserve"> </w:t>
      </w:r>
      <w:r>
        <w:rPr>
          <w:rFonts w:ascii="Arial" w:hAnsi="Arial" w:cs="Arial"/>
        </w:rPr>
        <w:t>W</w:t>
      </w:r>
      <w:r w:rsidR="005F2291" w:rsidRPr="00850FB4">
        <w:rPr>
          <w:rFonts w:ascii="Arial" w:hAnsi="Arial" w:cs="Arial"/>
        </w:rPr>
        <w:t>e applaud the leadership</w:t>
      </w:r>
      <w:r w:rsidR="00D04A7F">
        <w:rPr>
          <w:rFonts w:ascii="Arial" w:hAnsi="Arial" w:cs="Arial"/>
        </w:rPr>
        <w:t xml:space="preserve"> of Stellantis </w:t>
      </w:r>
      <w:r w:rsidR="008D50B9">
        <w:rPr>
          <w:rFonts w:ascii="Arial" w:hAnsi="Arial" w:cs="Arial"/>
        </w:rPr>
        <w:t xml:space="preserve">and look forward </w:t>
      </w:r>
      <w:r w:rsidR="008C0301">
        <w:rPr>
          <w:rFonts w:ascii="Arial" w:hAnsi="Arial" w:cs="Arial"/>
        </w:rPr>
        <w:t>to working</w:t>
      </w:r>
      <w:r w:rsidR="008D50B9">
        <w:rPr>
          <w:rFonts w:ascii="Arial" w:hAnsi="Arial" w:cs="Arial"/>
        </w:rPr>
        <w:t xml:space="preserve"> together </w:t>
      </w:r>
      <w:r w:rsidR="00230E45">
        <w:rPr>
          <w:rFonts w:ascii="Arial" w:hAnsi="Arial" w:cs="Arial"/>
        </w:rPr>
        <w:t xml:space="preserve">to set new industry benchmarks for </w:t>
      </w:r>
      <w:r w:rsidRPr="007663E9">
        <w:rPr>
          <w:rFonts w:ascii="Arial" w:hAnsi="Arial" w:cs="Arial"/>
        </w:rPr>
        <w:t>reliability, efficiency, and sustainability</w:t>
      </w:r>
      <w:r w:rsidR="00230E45">
        <w:rPr>
          <w:rFonts w:ascii="Arial" w:hAnsi="Arial" w:cs="Arial"/>
        </w:rPr>
        <w:t>.”</w:t>
      </w:r>
    </w:p>
    <w:p w14:paraId="6F4816BF" w14:textId="77E5CB42" w:rsidR="00F75BDD" w:rsidRDefault="00BA7278" w:rsidP="00663FE8">
      <w:pPr>
        <w:rPr>
          <w:rFonts w:ascii="Arial" w:hAnsi="Arial" w:cs="Arial"/>
        </w:rPr>
      </w:pPr>
      <w:r>
        <w:rPr>
          <w:rFonts w:ascii="Arial" w:hAnsi="Arial" w:cs="Arial"/>
        </w:rPr>
        <w:t xml:space="preserve">CTR is scheduled </w:t>
      </w:r>
      <w:r w:rsidR="00A94592">
        <w:rPr>
          <w:rFonts w:ascii="Arial" w:hAnsi="Arial" w:cs="Arial"/>
        </w:rPr>
        <w:t xml:space="preserve">to commence </w:t>
      </w:r>
      <w:r w:rsidR="00D139B2">
        <w:rPr>
          <w:rFonts w:ascii="Arial" w:hAnsi="Arial" w:cs="Arial"/>
        </w:rPr>
        <w:t xml:space="preserve">battery-grade </w:t>
      </w:r>
      <w:r w:rsidR="00F35263">
        <w:rPr>
          <w:rFonts w:ascii="Arial" w:hAnsi="Arial" w:cs="Arial"/>
        </w:rPr>
        <w:t>l</w:t>
      </w:r>
      <w:r w:rsidR="00BB3C1A">
        <w:rPr>
          <w:rFonts w:ascii="Arial" w:hAnsi="Arial" w:cs="Arial"/>
        </w:rPr>
        <w:t>ithium hydroxide</w:t>
      </w:r>
      <w:r w:rsidR="00A82F57">
        <w:rPr>
          <w:rFonts w:ascii="Arial" w:hAnsi="Arial" w:cs="Arial"/>
        </w:rPr>
        <w:t xml:space="preserve"> </w:t>
      </w:r>
      <w:r w:rsidR="00D139B2">
        <w:rPr>
          <w:rFonts w:ascii="Arial" w:hAnsi="Arial" w:cs="Arial"/>
        </w:rPr>
        <w:t xml:space="preserve">monohydrate </w:t>
      </w:r>
      <w:r w:rsidR="00A82F57">
        <w:rPr>
          <w:rFonts w:ascii="Arial" w:hAnsi="Arial" w:cs="Arial"/>
        </w:rPr>
        <w:t>supply</w:t>
      </w:r>
      <w:r w:rsidR="00BB3C1A">
        <w:rPr>
          <w:rFonts w:ascii="Arial" w:hAnsi="Arial" w:cs="Arial"/>
        </w:rPr>
        <w:t xml:space="preserve"> </w:t>
      </w:r>
      <w:r w:rsidR="00C04227">
        <w:rPr>
          <w:rFonts w:ascii="Arial" w:hAnsi="Arial" w:cs="Arial"/>
        </w:rPr>
        <w:t>for</w:t>
      </w:r>
      <w:r w:rsidR="00095AF3">
        <w:rPr>
          <w:rFonts w:ascii="Arial" w:hAnsi="Arial" w:cs="Arial"/>
        </w:rPr>
        <w:t xml:space="preserve"> </w:t>
      </w:r>
      <w:r w:rsidR="00095AF3" w:rsidRPr="00F718D5">
        <w:rPr>
          <w:rFonts w:ascii="Arial" w:hAnsi="Arial"/>
        </w:rPr>
        <w:t>Stellantis in 2027</w:t>
      </w:r>
      <w:r w:rsidR="00EB4BD8">
        <w:rPr>
          <w:rFonts w:ascii="Arial" w:hAnsi="Arial" w:cs="Arial"/>
        </w:rPr>
        <w:t xml:space="preserve">. The </w:t>
      </w:r>
      <w:r w:rsidR="00544CE1">
        <w:rPr>
          <w:rFonts w:ascii="Arial" w:hAnsi="Arial" w:cs="Arial"/>
        </w:rPr>
        <w:t>c</w:t>
      </w:r>
      <w:r w:rsidR="00EB4BD8">
        <w:rPr>
          <w:rFonts w:ascii="Arial" w:hAnsi="Arial" w:cs="Arial"/>
        </w:rPr>
        <w:t xml:space="preserve">ompany </w:t>
      </w:r>
      <w:r w:rsidR="00412E10">
        <w:rPr>
          <w:rFonts w:ascii="Arial" w:hAnsi="Arial" w:cs="Arial"/>
        </w:rPr>
        <w:t>expects</w:t>
      </w:r>
      <w:r w:rsidR="000D7AFD">
        <w:rPr>
          <w:rFonts w:ascii="Arial" w:hAnsi="Arial" w:cs="Arial"/>
        </w:rPr>
        <w:t xml:space="preserve"> to create 480 construction jobs through comprehensive </w:t>
      </w:r>
      <w:r w:rsidR="002754F5">
        <w:rPr>
          <w:rFonts w:ascii="Arial" w:hAnsi="Arial" w:cs="Arial"/>
        </w:rPr>
        <w:t xml:space="preserve">project </w:t>
      </w:r>
      <w:r w:rsidR="000D7AFD">
        <w:rPr>
          <w:rFonts w:ascii="Arial" w:hAnsi="Arial" w:cs="Arial"/>
        </w:rPr>
        <w:t>labor agreement</w:t>
      </w:r>
      <w:r w:rsidR="00A82F57">
        <w:rPr>
          <w:rFonts w:ascii="Arial" w:hAnsi="Arial" w:cs="Arial"/>
        </w:rPr>
        <w:t>s</w:t>
      </w:r>
      <w:r w:rsidR="000D7AFD">
        <w:rPr>
          <w:rFonts w:ascii="Arial" w:hAnsi="Arial" w:cs="Arial"/>
        </w:rPr>
        <w:t xml:space="preserve"> and </w:t>
      </w:r>
      <w:r w:rsidR="005C0B50">
        <w:rPr>
          <w:rFonts w:ascii="Arial" w:hAnsi="Arial" w:cs="Arial"/>
        </w:rPr>
        <w:t xml:space="preserve">upward of </w:t>
      </w:r>
      <w:r w:rsidR="00B40008" w:rsidRPr="00B40008">
        <w:rPr>
          <w:rFonts w:ascii="Arial" w:hAnsi="Arial" w:cs="Arial"/>
        </w:rPr>
        <w:t>940</w:t>
      </w:r>
      <w:r w:rsidR="00920ECB" w:rsidRPr="00B40008">
        <w:rPr>
          <w:rFonts w:ascii="Arial" w:hAnsi="Arial" w:cs="Arial"/>
        </w:rPr>
        <w:t xml:space="preserve"> </w:t>
      </w:r>
      <w:r w:rsidR="00920ECB">
        <w:rPr>
          <w:rFonts w:ascii="Arial" w:hAnsi="Arial" w:cs="Arial"/>
        </w:rPr>
        <w:t xml:space="preserve">direct project jobs </w:t>
      </w:r>
      <w:r w:rsidR="00D139B2">
        <w:rPr>
          <w:rFonts w:ascii="Arial" w:hAnsi="Arial" w:cs="Arial"/>
        </w:rPr>
        <w:t>when the resource is fully developed</w:t>
      </w:r>
      <w:r>
        <w:rPr>
          <w:rFonts w:ascii="Arial" w:hAnsi="Arial" w:cs="Arial"/>
        </w:rPr>
        <w:t>.</w:t>
      </w:r>
    </w:p>
    <w:p w14:paraId="2E5CA74B" w14:textId="77777777" w:rsidR="007F0624" w:rsidRPr="006A390B" w:rsidRDefault="00BA7278" w:rsidP="00894CC1">
      <w:pPr>
        <w:jc w:val="center"/>
        <w:rPr>
          <w:rFonts w:ascii="Arial" w:hAnsi="Arial" w:cs="Arial"/>
        </w:rPr>
      </w:pPr>
      <w:r w:rsidRPr="006A390B">
        <w:rPr>
          <w:rFonts w:ascii="Arial" w:hAnsi="Arial" w:cs="Arial"/>
        </w:rPr>
        <w:t># # #</w:t>
      </w:r>
    </w:p>
    <w:p w14:paraId="46D4EF33" w14:textId="77777777" w:rsidR="00211BDA" w:rsidRPr="00894CC1" w:rsidRDefault="00BA7278" w:rsidP="00663FE8">
      <w:pPr>
        <w:rPr>
          <w:rFonts w:ascii="Arial" w:hAnsi="Arial" w:cs="Arial"/>
          <w:b/>
          <w:bCs/>
        </w:rPr>
      </w:pPr>
      <w:r w:rsidRPr="00894CC1">
        <w:rPr>
          <w:rFonts w:ascii="Arial" w:hAnsi="Arial" w:cs="Arial"/>
          <w:b/>
          <w:bCs/>
        </w:rPr>
        <w:t>About Stellantis</w:t>
      </w:r>
    </w:p>
    <w:p w14:paraId="71E955B6" w14:textId="7B11B3AA" w:rsidR="00211BDA" w:rsidRPr="006A390B" w:rsidRDefault="00BA7278" w:rsidP="00663FE8">
      <w:pPr>
        <w:rPr>
          <w:rFonts w:ascii="Arial" w:hAnsi="Arial" w:cs="Arial"/>
        </w:rPr>
      </w:pPr>
      <w:bookmarkStart w:id="0" w:name="_Hlk104023212"/>
      <w:r w:rsidRPr="006A390B">
        <w:rPr>
          <w:rFonts w:ascii="Arial" w:hAnsi="Arial" w:cs="Arial"/>
        </w:rPr>
        <w:t xml:space="preserve">Stellantis N.V. </w:t>
      </w:r>
      <w:r w:rsidR="00B444D5" w:rsidRPr="00B444D5">
        <w:rPr>
          <w:rFonts w:ascii="Arial" w:hAnsi="Arial" w:cs="Arial"/>
        </w:rPr>
        <w:t xml:space="preserve">(NYSE: STLA / Euronext Milan: STLAM / Euronext Paris: STLAP) </w:t>
      </w:r>
      <w:r w:rsidRPr="006A390B">
        <w:rPr>
          <w:rFonts w:ascii="Arial" w:hAnsi="Arial" w:cs="Arial"/>
        </w:rPr>
        <w:t>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bookmarkEnd w:id="0"/>
    </w:p>
    <w:p w14:paraId="454AE94A" w14:textId="0D2BEE70" w:rsidR="009D782E" w:rsidRPr="00894CC1" w:rsidRDefault="00BA7278" w:rsidP="00663FE8">
      <w:pPr>
        <w:rPr>
          <w:rFonts w:ascii="Arial" w:hAnsi="Arial" w:cs="Arial"/>
          <w:b/>
          <w:bCs/>
        </w:rPr>
      </w:pPr>
      <w:bookmarkStart w:id="1" w:name="_heading=h.gjdgxs" w:colFirst="0" w:colLast="0"/>
      <w:bookmarkEnd w:id="1"/>
      <w:r w:rsidRPr="00894CC1">
        <w:rPr>
          <w:rFonts w:ascii="Arial" w:hAnsi="Arial" w:cs="Arial"/>
          <w:b/>
          <w:bCs/>
        </w:rPr>
        <w:t xml:space="preserve">About </w:t>
      </w:r>
      <w:r w:rsidR="00211BDA" w:rsidRPr="00894CC1">
        <w:rPr>
          <w:rFonts w:ascii="Arial" w:hAnsi="Arial" w:cs="Arial"/>
          <w:b/>
          <w:bCs/>
        </w:rPr>
        <w:t>CTR</w:t>
      </w:r>
    </w:p>
    <w:p w14:paraId="295F216C" w14:textId="5FDCA883" w:rsidR="00DF61C4" w:rsidRPr="006A390B" w:rsidRDefault="00BA7278" w:rsidP="00663FE8">
      <w:pPr>
        <w:rPr>
          <w:rFonts w:ascii="Arial" w:hAnsi="Arial" w:cs="Arial"/>
        </w:rPr>
      </w:pPr>
      <w:bookmarkStart w:id="2" w:name="_Hlk100564101"/>
      <w:r w:rsidRPr="006A390B">
        <w:rPr>
          <w:rFonts w:ascii="Arial" w:hAnsi="Arial" w:cs="Arial"/>
        </w:rPr>
        <w:t xml:space="preserve">Through its project companies, Controlled Thermal Resources </w:t>
      </w:r>
      <w:bookmarkEnd w:id="2"/>
      <w:r w:rsidRPr="006A390B">
        <w:rPr>
          <w:rFonts w:ascii="Arial" w:hAnsi="Arial" w:cs="Arial"/>
        </w:rPr>
        <w:t xml:space="preserve">Holdings Inc. (CTR) specializes in </w:t>
      </w:r>
      <w:r w:rsidR="00DE0A7E" w:rsidRPr="006A390B">
        <w:rPr>
          <w:rFonts w:ascii="Arial" w:hAnsi="Arial" w:cs="Arial"/>
        </w:rPr>
        <w:t xml:space="preserve">critical minerals, </w:t>
      </w:r>
      <w:r w:rsidRPr="006A390B">
        <w:rPr>
          <w:rFonts w:ascii="Arial" w:hAnsi="Arial" w:cs="Arial"/>
        </w:rPr>
        <w:t xml:space="preserve">battery-grade lithium chemicals, and renewable energy production with projects in advanced development in the United States. CTR’s leadership team has successfully developed and managed geothermal operations in California’s Salton Sea region for 30+ years. This highly specialized, location-specific </w:t>
      </w:r>
      <w:r w:rsidR="006616BE" w:rsidRPr="006A390B">
        <w:rPr>
          <w:rFonts w:ascii="Arial" w:hAnsi="Arial" w:cs="Arial"/>
        </w:rPr>
        <w:t>knowledge</w:t>
      </w:r>
      <w:r w:rsidRPr="006A390B">
        <w:rPr>
          <w:rFonts w:ascii="Arial" w:hAnsi="Arial" w:cs="Arial"/>
        </w:rPr>
        <w:t xml:space="preserve"> has been instrumental in advancing CTR</w:t>
      </w:r>
      <w:r w:rsidR="003D4385">
        <w:rPr>
          <w:rFonts w:ascii="Arial" w:hAnsi="Arial" w:cs="Arial"/>
        </w:rPr>
        <w:t>’</w:t>
      </w:r>
      <w:r w:rsidRPr="006A390B">
        <w:rPr>
          <w:rFonts w:ascii="Arial" w:hAnsi="Arial" w:cs="Arial"/>
        </w:rPr>
        <w:t xml:space="preserve">s projects. </w:t>
      </w:r>
      <w:r w:rsidR="00982265">
        <w:rPr>
          <w:rFonts w:ascii="Arial" w:hAnsi="Arial" w:cs="Arial"/>
        </w:rPr>
        <w:t xml:space="preserve">Construction is expected to commence on Hell’s Kitchen - Stage 1 in late 2023. </w:t>
      </w:r>
      <w:r w:rsidRPr="006A390B">
        <w:rPr>
          <w:rFonts w:ascii="Arial" w:hAnsi="Arial" w:cs="Arial"/>
        </w:rPr>
        <w:t xml:space="preserve">CTR is committed to delivering sustainable, low-cost lithium products and renewable power to support clean energy initiatives and to ensure a </w:t>
      </w:r>
      <w:r w:rsidR="008235B7">
        <w:rPr>
          <w:rFonts w:ascii="Arial" w:hAnsi="Arial" w:cs="Arial"/>
        </w:rPr>
        <w:t xml:space="preserve">domestic, </w:t>
      </w:r>
      <w:r w:rsidRPr="006A390B">
        <w:rPr>
          <w:rFonts w:ascii="Arial" w:hAnsi="Arial" w:cs="Arial"/>
        </w:rPr>
        <w:t xml:space="preserve">socially responsible lithium product supply chain in the United States. For more information, visit www.cthermal.com. </w:t>
      </w:r>
    </w:p>
    <w:p w14:paraId="5B49F61C" w14:textId="77777777" w:rsidR="00486C6E" w:rsidRPr="00486C6E" w:rsidRDefault="00486C6E" w:rsidP="00663FE8">
      <w:pPr>
        <w:rPr>
          <w:rFonts w:ascii="Arial" w:hAnsi="Arial" w:cs="Arial"/>
          <w:color w:val="272B35" w:themeColor="text1"/>
        </w:rPr>
      </w:pPr>
    </w:p>
    <w:p w14:paraId="09667F5E" w14:textId="397F14B3" w:rsidR="00211BDA" w:rsidRPr="00486C6E" w:rsidRDefault="00BA7278" w:rsidP="00663FE8">
      <w:pPr>
        <w:rPr>
          <w:rFonts w:ascii="Arial" w:hAnsi="Arial" w:cs="Arial"/>
          <w:color w:val="272B35" w:themeColor="text1"/>
        </w:rPr>
      </w:pPr>
      <w:r w:rsidRPr="00486C6E">
        <w:rPr>
          <w:rFonts w:ascii="Arial" w:hAnsi="Arial" w:cs="Arial"/>
          <w:color w:val="272B35" w:themeColor="text1"/>
        </w:rPr>
        <w:t>Contacts:</w:t>
      </w:r>
    </w:p>
    <w:p w14:paraId="3BBE09BA" w14:textId="77777777" w:rsidR="00ED6A87" w:rsidRPr="00894CC1" w:rsidRDefault="00ED6A87" w:rsidP="00ED6A87">
      <w:pPr>
        <w:spacing w:after="0"/>
        <w:rPr>
          <w:rFonts w:ascii="Arial" w:hAnsi="Arial" w:cs="Arial"/>
          <w:b/>
          <w:bCs/>
          <w:szCs w:val="20"/>
        </w:rPr>
      </w:pPr>
      <w:r w:rsidRPr="00894CC1">
        <w:rPr>
          <w:rFonts w:ascii="Arial" w:hAnsi="Arial" w:cs="Arial"/>
          <w:b/>
          <w:bCs/>
          <w:szCs w:val="20"/>
        </w:rPr>
        <w:t>Stellantis</w:t>
      </w:r>
    </w:p>
    <w:p w14:paraId="0487EAEF" w14:textId="77777777" w:rsidR="00ED6A87" w:rsidRPr="00894CC1" w:rsidRDefault="00ED6A87" w:rsidP="00ED6A87">
      <w:pPr>
        <w:spacing w:after="0"/>
        <w:rPr>
          <w:rFonts w:ascii="Arial" w:hAnsi="Arial" w:cs="Arial"/>
          <w:szCs w:val="20"/>
        </w:rPr>
      </w:pPr>
    </w:p>
    <w:p w14:paraId="6D4C7570" w14:textId="77777777" w:rsidR="00ED6A87" w:rsidRPr="00894CC1" w:rsidRDefault="00ED6A87" w:rsidP="00ED6A87">
      <w:pPr>
        <w:tabs>
          <w:tab w:val="left" w:pos="2592"/>
        </w:tabs>
        <w:spacing w:after="0"/>
        <w:rPr>
          <w:rFonts w:ascii="Arial" w:eastAsia="Arial" w:hAnsi="Arial" w:cs="Arial"/>
          <w:b/>
          <w:bCs/>
          <w:szCs w:val="20"/>
        </w:rPr>
      </w:pPr>
      <w:proofErr w:type="spellStart"/>
      <w:r w:rsidRPr="00894CC1">
        <w:rPr>
          <w:rFonts w:ascii="Arial" w:eastAsia="Arial" w:hAnsi="Arial" w:cs="Arial"/>
          <w:b/>
          <w:bCs/>
          <w:szCs w:val="20"/>
        </w:rPr>
        <w:t>Fernão</w:t>
      </w:r>
      <w:proofErr w:type="spellEnd"/>
      <w:r w:rsidRPr="00894CC1">
        <w:rPr>
          <w:rFonts w:ascii="Arial" w:eastAsia="Arial" w:hAnsi="Arial" w:cs="Arial"/>
          <w:b/>
          <w:bCs/>
          <w:szCs w:val="20"/>
        </w:rPr>
        <w:t xml:space="preserve"> Silveira </w:t>
      </w:r>
    </w:p>
    <w:p w14:paraId="294246BF" w14:textId="77777777" w:rsidR="00ED6A87" w:rsidRPr="00894CC1" w:rsidRDefault="00ED6A87" w:rsidP="00ED6A87">
      <w:pPr>
        <w:tabs>
          <w:tab w:val="left" w:pos="2592"/>
        </w:tabs>
        <w:spacing w:after="0"/>
        <w:rPr>
          <w:rFonts w:ascii="Arial" w:eastAsia="Arial" w:hAnsi="Arial" w:cs="Arial"/>
          <w:szCs w:val="20"/>
        </w:rPr>
      </w:pPr>
      <w:r w:rsidRPr="00894CC1">
        <w:rPr>
          <w:rFonts w:ascii="Arial" w:eastAsia="Arial" w:hAnsi="Arial" w:cs="Arial"/>
          <w:szCs w:val="20"/>
        </w:rPr>
        <w:t>Global Communications / Stellantis</w:t>
      </w:r>
    </w:p>
    <w:p w14:paraId="6EA0C701" w14:textId="77777777" w:rsidR="00ED6A87" w:rsidRPr="0091154E" w:rsidRDefault="00ED6A87" w:rsidP="00ED6A87">
      <w:pPr>
        <w:tabs>
          <w:tab w:val="left" w:pos="2592"/>
        </w:tabs>
        <w:spacing w:after="0"/>
        <w:rPr>
          <w:rFonts w:ascii="Arial" w:eastAsia="Arial" w:hAnsi="Arial" w:cs="Arial"/>
          <w:szCs w:val="20"/>
        </w:rPr>
      </w:pPr>
      <w:r w:rsidRPr="0091154E">
        <w:rPr>
          <w:rFonts w:ascii="Arial" w:eastAsia="Arial" w:hAnsi="Arial" w:cs="Arial"/>
          <w:szCs w:val="20"/>
        </w:rPr>
        <w:t xml:space="preserve">fernao.silveira@stellantis.com </w:t>
      </w:r>
    </w:p>
    <w:p w14:paraId="28FF655B" w14:textId="77777777" w:rsidR="00ED6A87" w:rsidRPr="0091154E" w:rsidRDefault="00ED6A87" w:rsidP="00ED6A87">
      <w:pPr>
        <w:tabs>
          <w:tab w:val="left" w:pos="2592"/>
        </w:tabs>
        <w:spacing w:after="0"/>
        <w:rPr>
          <w:rFonts w:ascii="Arial" w:eastAsia="Arial" w:hAnsi="Arial" w:cs="Arial"/>
          <w:szCs w:val="20"/>
        </w:rPr>
      </w:pPr>
      <w:r w:rsidRPr="0091154E">
        <w:rPr>
          <w:rFonts w:ascii="Arial" w:eastAsia="Arial" w:hAnsi="Arial" w:cs="Arial"/>
          <w:szCs w:val="20"/>
        </w:rPr>
        <w:t>+31 6 43 25 43 41</w:t>
      </w:r>
    </w:p>
    <w:p w14:paraId="68E00E6D" w14:textId="77777777" w:rsidR="00ED6A87" w:rsidRPr="0091154E" w:rsidRDefault="00ED6A87" w:rsidP="00ED6A87">
      <w:pPr>
        <w:tabs>
          <w:tab w:val="left" w:pos="2592"/>
        </w:tabs>
        <w:spacing w:after="0"/>
        <w:rPr>
          <w:rFonts w:ascii="Arial" w:eastAsia="Arial" w:hAnsi="Arial" w:cs="Arial"/>
          <w:szCs w:val="20"/>
        </w:rPr>
      </w:pPr>
    </w:p>
    <w:p w14:paraId="7696588A" w14:textId="77777777" w:rsidR="00ED6A87" w:rsidRPr="0091154E" w:rsidRDefault="00ED6A87" w:rsidP="00ED6A87">
      <w:pPr>
        <w:tabs>
          <w:tab w:val="left" w:pos="2592"/>
        </w:tabs>
        <w:spacing w:after="0"/>
        <w:rPr>
          <w:rFonts w:ascii="Arial" w:eastAsia="Arial" w:hAnsi="Arial" w:cs="Arial"/>
          <w:b/>
          <w:bCs/>
          <w:szCs w:val="20"/>
        </w:rPr>
      </w:pPr>
      <w:r w:rsidRPr="0091154E">
        <w:rPr>
          <w:rFonts w:ascii="Arial" w:eastAsia="Arial" w:hAnsi="Arial" w:cs="Arial"/>
          <w:b/>
          <w:bCs/>
          <w:szCs w:val="20"/>
        </w:rPr>
        <w:t>Shawn Morgan</w:t>
      </w:r>
    </w:p>
    <w:p w14:paraId="00CFAA63" w14:textId="77777777" w:rsidR="00ED6A87" w:rsidRPr="0091154E" w:rsidRDefault="00ED6A87" w:rsidP="00ED6A87">
      <w:pPr>
        <w:tabs>
          <w:tab w:val="left" w:pos="2592"/>
        </w:tabs>
        <w:spacing w:after="0"/>
        <w:rPr>
          <w:rFonts w:ascii="Arial" w:eastAsia="Arial" w:hAnsi="Arial" w:cs="Arial"/>
          <w:szCs w:val="20"/>
        </w:rPr>
      </w:pPr>
      <w:r w:rsidRPr="0091154E">
        <w:rPr>
          <w:rFonts w:ascii="Arial" w:eastAsia="Arial" w:hAnsi="Arial" w:cs="Arial"/>
          <w:szCs w:val="20"/>
        </w:rPr>
        <w:t>North America Communications / Stellantis</w:t>
      </w:r>
    </w:p>
    <w:p w14:paraId="39C83C02" w14:textId="77777777" w:rsidR="00ED6A87" w:rsidRPr="0091154E" w:rsidRDefault="00ED6A87" w:rsidP="00ED6A87">
      <w:pPr>
        <w:tabs>
          <w:tab w:val="left" w:pos="2592"/>
        </w:tabs>
        <w:spacing w:after="0"/>
        <w:rPr>
          <w:rFonts w:ascii="Arial" w:eastAsia="Arial" w:hAnsi="Arial" w:cs="Arial"/>
          <w:szCs w:val="20"/>
        </w:rPr>
      </w:pPr>
      <w:r w:rsidRPr="0091154E">
        <w:rPr>
          <w:rFonts w:ascii="Arial" w:eastAsia="Arial" w:hAnsi="Arial" w:cs="Arial"/>
          <w:szCs w:val="20"/>
        </w:rPr>
        <w:t>shawn.morgan@stellantis.com</w:t>
      </w:r>
    </w:p>
    <w:p w14:paraId="51B2DA5D" w14:textId="77777777" w:rsidR="00ED6A87" w:rsidRPr="00210AED" w:rsidRDefault="00ED6A87" w:rsidP="00ED6A87">
      <w:pPr>
        <w:tabs>
          <w:tab w:val="left" w:pos="2592"/>
        </w:tabs>
        <w:spacing w:after="0"/>
        <w:rPr>
          <w:rFonts w:ascii="Arial" w:eastAsia="Arial" w:hAnsi="Arial" w:cs="Arial"/>
          <w:szCs w:val="20"/>
        </w:rPr>
      </w:pPr>
      <w:r w:rsidRPr="00210AED">
        <w:rPr>
          <w:rFonts w:ascii="Arial" w:eastAsia="Arial" w:hAnsi="Arial" w:cs="Arial"/>
          <w:szCs w:val="20"/>
        </w:rPr>
        <w:t>+1 (248) 760-2621</w:t>
      </w:r>
    </w:p>
    <w:p w14:paraId="55700B95" w14:textId="00BEA19A" w:rsidR="00ED6A87" w:rsidRPr="00831236" w:rsidRDefault="00ED6A87" w:rsidP="00ED6A87">
      <w:pPr>
        <w:spacing w:after="160" w:line="256" w:lineRule="auto"/>
        <w:rPr>
          <w:rFonts w:ascii="Arial" w:eastAsia="Arial" w:hAnsi="Arial" w:cs="Arial"/>
          <w:b/>
          <w:bCs/>
          <w:szCs w:val="20"/>
        </w:rPr>
      </w:pPr>
    </w:p>
    <w:p w14:paraId="324F3FCA" w14:textId="77777777" w:rsidR="00C919C8" w:rsidRPr="00894CC1" w:rsidRDefault="00BA7278" w:rsidP="00663FE8">
      <w:pPr>
        <w:rPr>
          <w:rFonts w:ascii="Arial" w:hAnsi="Arial" w:cs="Arial"/>
          <w:b/>
          <w:bCs/>
        </w:rPr>
      </w:pPr>
      <w:bookmarkStart w:id="3" w:name="_Hlk104885869"/>
      <w:r w:rsidRPr="00894CC1">
        <w:rPr>
          <w:rFonts w:ascii="Arial" w:hAnsi="Arial" w:cs="Arial"/>
          <w:b/>
          <w:bCs/>
        </w:rPr>
        <w:t xml:space="preserve">Controlled Thermal Resources </w:t>
      </w:r>
    </w:p>
    <w:p w14:paraId="71676F59" w14:textId="7F45C2CD" w:rsidR="00206526" w:rsidRPr="00894CC1" w:rsidRDefault="00BA7278" w:rsidP="00894CC1">
      <w:pPr>
        <w:spacing w:after="0"/>
        <w:rPr>
          <w:rFonts w:ascii="Arial" w:hAnsi="Arial" w:cs="Arial"/>
        </w:rPr>
      </w:pPr>
      <w:r w:rsidRPr="00894CC1">
        <w:rPr>
          <w:rFonts w:ascii="Arial" w:hAnsi="Arial" w:cs="Arial"/>
        </w:rPr>
        <w:t>Lauren Rose</w:t>
      </w:r>
    </w:p>
    <w:p w14:paraId="2827ABEF" w14:textId="64327880" w:rsidR="00206526" w:rsidRPr="00894CC1" w:rsidRDefault="00486C6E" w:rsidP="00894CC1">
      <w:pPr>
        <w:spacing w:after="0"/>
        <w:rPr>
          <w:rFonts w:ascii="Arial" w:hAnsi="Arial" w:cs="Arial"/>
        </w:rPr>
      </w:pPr>
      <w:r w:rsidRPr="00894CC1">
        <w:rPr>
          <w:rFonts w:ascii="Arial" w:hAnsi="Arial" w:cs="Arial"/>
        </w:rPr>
        <w:t>Director, Marketing and Co</w:t>
      </w:r>
      <w:r w:rsidR="00C919C8" w:rsidRPr="00894CC1">
        <w:rPr>
          <w:rFonts w:ascii="Arial" w:hAnsi="Arial" w:cs="Arial"/>
        </w:rPr>
        <w:t xml:space="preserve">mmunications </w:t>
      </w:r>
    </w:p>
    <w:p w14:paraId="14FBBA61" w14:textId="651416EE" w:rsidR="00206526" w:rsidRPr="006A390B" w:rsidRDefault="00BA7278" w:rsidP="00894CC1">
      <w:pPr>
        <w:spacing w:after="0"/>
        <w:rPr>
          <w:rFonts w:ascii="Arial" w:hAnsi="Arial" w:cs="Arial"/>
        </w:rPr>
      </w:pPr>
      <w:r w:rsidRPr="006A390B">
        <w:rPr>
          <w:rFonts w:ascii="Arial" w:hAnsi="Arial" w:cs="Arial"/>
        </w:rPr>
        <w:t>lauren.rose@cthermal.com</w:t>
      </w:r>
    </w:p>
    <w:p w14:paraId="340D9FA5" w14:textId="4AEA861F" w:rsidR="00914E09" w:rsidRPr="006A390B" w:rsidRDefault="00BA7278" w:rsidP="00894CC1">
      <w:pPr>
        <w:spacing w:after="0"/>
        <w:rPr>
          <w:rFonts w:ascii="Arial" w:hAnsi="Arial" w:cs="Arial"/>
        </w:rPr>
      </w:pPr>
      <w:r w:rsidRPr="006A390B">
        <w:rPr>
          <w:rFonts w:ascii="Arial" w:hAnsi="Arial" w:cs="Arial"/>
        </w:rPr>
        <w:t>+61 438 123 177</w:t>
      </w:r>
      <w:bookmarkEnd w:id="3"/>
    </w:p>
    <w:p w14:paraId="7CBAE06F" w14:textId="77777777" w:rsidR="00B92542" w:rsidRDefault="00B92542">
      <w:pPr>
        <w:rPr>
          <w:rFonts w:ascii="Arial" w:hAnsi="Arial" w:cs="Arial"/>
          <w:b/>
          <w:bCs/>
        </w:rPr>
      </w:pPr>
      <w:r>
        <w:rPr>
          <w:rFonts w:ascii="Arial" w:hAnsi="Arial" w:cs="Arial"/>
          <w:b/>
          <w:bCs/>
        </w:rPr>
        <w:br w:type="page"/>
      </w:r>
    </w:p>
    <w:p w14:paraId="68CC4625" w14:textId="5C5D2755" w:rsidR="00B92542" w:rsidRPr="00894CC1" w:rsidRDefault="00B92542" w:rsidP="00B92542">
      <w:pPr>
        <w:rPr>
          <w:rFonts w:ascii="Arial" w:hAnsi="Arial" w:cs="Arial"/>
          <w:b/>
          <w:bCs/>
          <w:sz w:val="20"/>
          <w:szCs w:val="20"/>
        </w:rPr>
      </w:pPr>
      <w:r w:rsidRPr="00894CC1">
        <w:rPr>
          <w:rFonts w:ascii="Arial" w:hAnsi="Arial" w:cs="Arial"/>
          <w:b/>
          <w:bCs/>
          <w:sz w:val="20"/>
          <w:szCs w:val="20"/>
        </w:rPr>
        <w:lastRenderedPageBreak/>
        <w:t>STELLANTIS FORWARD-LOOKING STATEMENTS</w:t>
      </w:r>
    </w:p>
    <w:p w14:paraId="7FABF7B1" w14:textId="77777777" w:rsidR="00B92542" w:rsidRPr="00894CC1" w:rsidRDefault="00B92542" w:rsidP="00B92542">
      <w:pPr>
        <w:rPr>
          <w:rFonts w:ascii="Arial" w:hAnsi="Arial" w:cs="Arial"/>
          <w:sz w:val="20"/>
          <w:szCs w:val="20"/>
        </w:rPr>
      </w:pPr>
      <w:r w:rsidRPr="00894CC1">
        <w:rPr>
          <w:rFonts w:ascii="Arial" w:hAnsi="Arial" w:cs="Arial"/>
          <w:sz w:val="20"/>
          <w:szCs w:val="20"/>
        </w:rPr>
        <w:t xml:space="preserve">This communication contains forward-looking statements. </w:t>
      </w:r>
      <w:proofErr w:type="gramStart"/>
      <w:r w:rsidRPr="00894CC1">
        <w:rPr>
          <w:rFonts w:ascii="Arial" w:hAnsi="Arial" w:cs="Arial"/>
          <w:sz w:val="20"/>
          <w:szCs w:val="20"/>
        </w:rPr>
        <w:t>In particular, statements</w:t>
      </w:r>
      <w:proofErr w:type="gramEnd"/>
      <w:r w:rsidRPr="00894CC1">
        <w:rPr>
          <w:rFonts w:ascii="Arial" w:hAnsi="Arial" w:cs="Arial"/>
          <w:sz w:val="20"/>
          <w:szCs w:val="20"/>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034A43FB" w14:textId="779EBAE5" w:rsidR="00B92542" w:rsidRPr="00894CC1" w:rsidRDefault="00B92542" w:rsidP="00B92542">
      <w:pPr>
        <w:rPr>
          <w:rFonts w:ascii="Arial" w:hAnsi="Arial" w:cs="Arial"/>
          <w:sz w:val="20"/>
          <w:szCs w:val="20"/>
        </w:rPr>
      </w:pPr>
      <w:r w:rsidRPr="00894CC1">
        <w:rPr>
          <w:rFonts w:ascii="Arial" w:hAnsi="Arial" w:cs="Arial"/>
          <w:sz w:val="20"/>
          <w:szCs w:val="20"/>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5D67444A" w14:textId="0F467AED" w:rsidR="00D90200" w:rsidRPr="00894CC1" w:rsidRDefault="00B92542" w:rsidP="00663FE8">
      <w:pPr>
        <w:rPr>
          <w:rFonts w:ascii="Arial" w:hAnsi="Arial" w:cs="Arial"/>
          <w:sz w:val="20"/>
          <w:szCs w:val="20"/>
        </w:rPr>
      </w:pPr>
      <w:r w:rsidRPr="00894CC1">
        <w:rPr>
          <w:rFonts w:ascii="Arial" w:hAnsi="Arial" w:cs="Arial"/>
          <w:sz w:val="20"/>
          <w:szCs w:val="20"/>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sectPr w:rsidR="00D90200" w:rsidRPr="00894CC1" w:rsidSect="00A154B4">
      <w:headerReference w:type="default" r:id="rId11"/>
      <w:footerReference w:type="default" r:id="rId12"/>
      <w:headerReference w:type="first" r:id="rId13"/>
      <w:pgSz w:w="12242" w:h="15842"/>
      <w:pgMar w:top="1440" w:right="1440" w:bottom="1440" w:left="1440"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5F15" w14:textId="77777777" w:rsidR="00CC5DF9" w:rsidRDefault="00CC5DF9">
      <w:pPr>
        <w:spacing w:after="0"/>
      </w:pPr>
      <w:r>
        <w:separator/>
      </w:r>
    </w:p>
  </w:endnote>
  <w:endnote w:type="continuationSeparator" w:id="0">
    <w:p w14:paraId="3E9B84BC" w14:textId="77777777" w:rsidR="00CC5DF9" w:rsidRDefault="00CC5DF9">
      <w:pPr>
        <w:spacing w:after="0"/>
      </w:pPr>
      <w:r>
        <w:continuationSeparator/>
      </w:r>
    </w:p>
  </w:endnote>
  <w:endnote w:type="continuationNotice" w:id="1">
    <w:p w14:paraId="062F2E16" w14:textId="77777777" w:rsidR="00CC5DF9" w:rsidRDefault="00CC5D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 Expanded">
    <w:altName w:val="Times New Roman"/>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5FDD" w14:textId="77777777" w:rsidR="00CC5DF9" w:rsidRDefault="00CC5DF9">
      <w:pPr>
        <w:spacing w:after="0"/>
      </w:pPr>
      <w:r>
        <w:separator/>
      </w:r>
    </w:p>
  </w:footnote>
  <w:footnote w:type="continuationSeparator" w:id="0">
    <w:p w14:paraId="237F1270" w14:textId="77777777" w:rsidR="00CC5DF9" w:rsidRDefault="00CC5DF9">
      <w:pPr>
        <w:spacing w:after="0"/>
      </w:pPr>
      <w:r>
        <w:continuationSeparator/>
      </w:r>
    </w:p>
  </w:footnote>
  <w:footnote w:type="continuationNotice" w:id="1">
    <w:p w14:paraId="728267F4" w14:textId="77777777" w:rsidR="00CC5DF9" w:rsidRDefault="00CC5D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E3CC" w14:textId="77777777" w:rsidR="008139F3" w:rsidRDefault="00813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188FB1C3" w:rsidR="00D90200" w:rsidRDefault="00BA7278">
    <w:pPr>
      <w:pBdr>
        <w:top w:val="nil"/>
        <w:left w:val="nil"/>
        <w:bottom w:val="nil"/>
        <w:right w:val="nil"/>
        <w:between w:val="nil"/>
      </w:pBdr>
      <w:tabs>
        <w:tab w:val="left" w:pos="6096"/>
      </w:tabs>
      <w:jc w:val="left"/>
      <w:rPr>
        <w:color w:val="243782"/>
      </w:rPr>
    </w:pPr>
    <w:r>
      <w:rPr>
        <w:noProof/>
        <w:color w:val="243782"/>
      </w:rPr>
      <w:drawing>
        <wp:anchor distT="0" distB="0" distL="114300" distR="114300" simplePos="0" relativeHeight="251659264" behindDoc="0" locked="0" layoutInCell="1" allowOverlap="1" wp14:anchorId="7C832CCA" wp14:editId="4F5A2C9B">
          <wp:simplePos x="0" y="0"/>
          <wp:positionH relativeFrom="margin">
            <wp:posOffset>3429635</wp:posOffset>
          </wp:positionH>
          <wp:positionV relativeFrom="paragraph">
            <wp:posOffset>-224155</wp:posOffset>
          </wp:positionV>
          <wp:extent cx="1617980" cy="571500"/>
          <wp:effectExtent l="0" t="0" r="1270" b="0"/>
          <wp:wrapNone/>
          <wp:docPr id="2" name="Immagin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17980" cy="571500"/>
                  </a:xfrm>
                  <a:prstGeom prst="rect">
                    <a:avLst/>
                  </a:prstGeom>
                </pic:spPr>
              </pic:pic>
            </a:graphicData>
          </a:graphic>
          <wp14:sizeRelH relativeFrom="margin">
            <wp14:pctWidth>0</wp14:pctWidth>
          </wp14:sizeRelH>
          <wp14:sizeRelV relativeFrom="margin">
            <wp14:pctHeight>0</wp14:pctHeight>
          </wp14:sizeRelV>
        </wp:anchor>
      </w:drawing>
    </w:r>
    <w:r>
      <w:rPr>
        <w:noProof/>
        <w:color w:val="243782"/>
      </w:rPr>
      <w:drawing>
        <wp:anchor distT="0" distB="0" distL="114300" distR="114300" simplePos="0" relativeHeight="251658240" behindDoc="0" locked="0" layoutInCell="1" allowOverlap="1" wp14:anchorId="516E0D73" wp14:editId="0606D823">
          <wp:simplePos x="0" y="0"/>
          <wp:positionH relativeFrom="margin">
            <wp:posOffset>303530</wp:posOffset>
          </wp:positionH>
          <wp:positionV relativeFrom="paragraph">
            <wp:posOffset>-262572</wp:posOffset>
          </wp:positionV>
          <wp:extent cx="2650490" cy="680720"/>
          <wp:effectExtent l="0" t="0" r="0" b="5080"/>
          <wp:wrapNone/>
          <wp:docPr id="3" name="Immagin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2650490" cy="680720"/>
                  </a:xfrm>
                  <a:prstGeom prst="rect">
                    <a:avLst/>
                  </a:prstGeom>
                </pic:spPr>
              </pic:pic>
            </a:graphicData>
          </a:graphic>
        </wp:anchor>
      </w:drawing>
    </w:r>
    <w:r w:rsidR="00211BDA">
      <w:rPr>
        <w:color w:val="24378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D8D1A69"/>
    <w:multiLevelType w:val="hybridMultilevel"/>
    <w:tmpl w:val="ADCE42BA"/>
    <w:lvl w:ilvl="0" w:tplc="100E4AD8">
      <w:start w:val="1"/>
      <w:numFmt w:val="bullet"/>
      <w:lvlText w:val=""/>
      <w:lvlJc w:val="left"/>
      <w:pPr>
        <w:ind w:left="720" w:hanging="360"/>
      </w:pPr>
      <w:rPr>
        <w:rFonts w:ascii="Symbol" w:hAnsi="Symbol" w:hint="default"/>
      </w:rPr>
    </w:lvl>
    <w:lvl w:ilvl="1" w:tplc="C454570E" w:tentative="1">
      <w:start w:val="1"/>
      <w:numFmt w:val="bullet"/>
      <w:lvlText w:val="o"/>
      <w:lvlJc w:val="left"/>
      <w:pPr>
        <w:ind w:left="1440" w:hanging="360"/>
      </w:pPr>
      <w:rPr>
        <w:rFonts w:ascii="Courier New" w:hAnsi="Courier New" w:cs="Courier New" w:hint="default"/>
      </w:rPr>
    </w:lvl>
    <w:lvl w:ilvl="2" w:tplc="3D929C30" w:tentative="1">
      <w:start w:val="1"/>
      <w:numFmt w:val="bullet"/>
      <w:lvlText w:val=""/>
      <w:lvlJc w:val="left"/>
      <w:pPr>
        <w:ind w:left="2160" w:hanging="360"/>
      </w:pPr>
      <w:rPr>
        <w:rFonts w:ascii="Wingdings" w:hAnsi="Wingdings" w:hint="default"/>
      </w:rPr>
    </w:lvl>
    <w:lvl w:ilvl="3" w:tplc="5FCED8C8" w:tentative="1">
      <w:start w:val="1"/>
      <w:numFmt w:val="bullet"/>
      <w:lvlText w:val=""/>
      <w:lvlJc w:val="left"/>
      <w:pPr>
        <w:ind w:left="2880" w:hanging="360"/>
      </w:pPr>
      <w:rPr>
        <w:rFonts w:ascii="Symbol" w:hAnsi="Symbol" w:hint="default"/>
      </w:rPr>
    </w:lvl>
    <w:lvl w:ilvl="4" w:tplc="2C1442D4" w:tentative="1">
      <w:start w:val="1"/>
      <w:numFmt w:val="bullet"/>
      <w:lvlText w:val="o"/>
      <w:lvlJc w:val="left"/>
      <w:pPr>
        <w:ind w:left="3600" w:hanging="360"/>
      </w:pPr>
      <w:rPr>
        <w:rFonts w:ascii="Courier New" w:hAnsi="Courier New" w:cs="Courier New" w:hint="default"/>
      </w:rPr>
    </w:lvl>
    <w:lvl w:ilvl="5" w:tplc="23EEE138" w:tentative="1">
      <w:start w:val="1"/>
      <w:numFmt w:val="bullet"/>
      <w:lvlText w:val=""/>
      <w:lvlJc w:val="left"/>
      <w:pPr>
        <w:ind w:left="4320" w:hanging="360"/>
      </w:pPr>
      <w:rPr>
        <w:rFonts w:ascii="Wingdings" w:hAnsi="Wingdings" w:hint="default"/>
      </w:rPr>
    </w:lvl>
    <w:lvl w:ilvl="6" w:tplc="C4242DD4" w:tentative="1">
      <w:start w:val="1"/>
      <w:numFmt w:val="bullet"/>
      <w:lvlText w:val=""/>
      <w:lvlJc w:val="left"/>
      <w:pPr>
        <w:ind w:left="5040" w:hanging="360"/>
      </w:pPr>
      <w:rPr>
        <w:rFonts w:ascii="Symbol" w:hAnsi="Symbol" w:hint="default"/>
      </w:rPr>
    </w:lvl>
    <w:lvl w:ilvl="7" w:tplc="A76A016C" w:tentative="1">
      <w:start w:val="1"/>
      <w:numFmt w:val="bullet"/>
      <w:lvlText w:val="o"/>
      <w:lvlJc w:val="left"/>
      <w:pPr>
        <w:ind w:left="5760" w:hanging="360"/>
      </w:pPr>
      <w:rPr>
        <w:rFonts w:ascii="Courier New" w:hAnsi="Courier New" w:cs="Courier New" w:hint="default"/>
      </w:rPr>
    </w:lvl>
    <w:lvl w:ilvl="8" w:tplc="FE92CB0E" w:tentative="1">
      <w:start w:val="1"/>
      <w:numFmt w:val="bullet"/>
      <w:lvlText w:val=""/>
      <w:lvlJc w:val="left"/>
      <w:pPr>
        <w:ind w:left="6480" w:hanging="360"/>
      </w:pPr>
      <w:rPr>
        <w:rFonts w:ascii="Wingdings" w:hAnsi="Wingdings" w:hint="default"/>
      </w:rPr>
    </w:lvl>
  </w:abstractNum>
  <w:abstractNum w:abstractNumId="3" w15:restartNumberingAfterBreak="0">
    <w:nsid w:val="7BC63BD7"/>
    <w:multiLevelType w:val="hybridMultilevel"/>
    <w:tmpl w:val="67C4583C"/>
    <w:lvl w:ilvl="0" w:tplc="A5C60F9C">
      <w:start w:val="1"/>
      <w:numFmt w:val="bullet"/>
      <w:lvlText w:val=""/>
      <w:lvlJc w:val="left"/>
      <w:pPr>
        <w:ind w:left="720" w:hanging="360"/>
      </w:pPr>
      <w:rPr>
        <w:rFonts w:ascii="Wingdings" w:hAnsi="Wingdings" w:hint="default"/>
      </w:rPr>
    </w:lvl>
    <w:lvl w:ilvl="1" w:tplc="4FD897A6">
      <w:start w:val="1"/>
      <w:numFmt w:val="bullet"/>
      <w:lvlText w:val="o"/>
      <w:lvlJc w:val="left"/>
      <w:pPr>
        <w:ind w:left="1440" w:hanging="360"/>
      </w:pPr>
      <w:rPr>
        <w:rFonts w:ascii="Courier New" w:hAnsi="Courier New" w:cs="Courier New" w:hint="default"/>
      </w:rPr>
    </w:lvl>
    <w:lvl w:ilvl="2" w:tplc="3356DDEA">
      <w:start w:val="1"/>
      <w:numFmt w:val="bullet"/>
      <w:lvlText w:val=""/>
      <w:lvlJc w:val="left"/>
      <w:pPr>
        <w:ind w:left="2160" w:hanging="360"/>
      </w:pPr>
      <w:rPr>
        <w:rFonts w:ascii="Wingdings" w:hAnsi="Wingdings" w:hint="default"/>
      </w:rPr>
    </w:lvl>
    <w:lvl w:ilvl="3" w:tplc="1A72FB68">
      <w:start w:val="1"/>
      <w:numFmt w:val="bullet"/>
      <w:lvlText w:val=""/>
      <w:lvlJc w:val="left"/>
      <w:pPr>
        <w:ind w:left="2880" w:hanging="360"/>
      </w:pPr>
      <w:rPr>
        <w:rFonts w:ascii="Symbol" w:hAnsi="Symbol" w:hint="default"/>
      </w:rPr>
    </w:lvl>
    <w:lvl w:ilvl="4" w:tplc="494439A4">
      <w:start w:val="1"/>
      <w:numFmt w:val="bullet"/>
      <w:lvlText w:val="o"/>
      <w:lvlJc w:val="left"/>
      <w:pPr>
        <w:ind w:left="3600" w:hanging="360"/>
      </w:pPr>
      <w:rPr>
        <w:rFonts w:ascii="Courier New" w:hAnsi="Courier New" w:cs="Courier New" w:hint="default"/>
      </w:rPr>
    </w:lvl>
    <w:lvl w:ilvl="5" w:tplc="D1403A02">
      <w:start w:val="1"/>
      <w:numFmt w:val="bullet"/>
      <w:lvlText w:val=""/>
      <w:lvlJc w:val="left"/>
      <w:pPr>
        <w:ind w:left="4320" w:hanging="360"/>
      </w:pPr>
      <w:rPr>
        <w:rFonts w:ascii="Wingdings" w:hAnsi="Wingdings" w:hint="default"/>
      </w:rPr>
    </w:lvl>
    <w:lvl w:ilvl="6" w:tplc="AD808DB6">
      <w:start w:val="1"/>
      <w:numFmt w:val="bullet"/>
      <w:lvlText w:val=""/>
      <w:lvlJc w:val="left"/>
      <w:pPr>
        <w:ind w:left="5040" w:hanging="360"/>
      </w:pPr>
      <w:rPr>
        <w:rFonts w:ascii="Symbol" w:hAnsi="Symbol" w:hint="default"/>
      </w:rPr>
    </w:lvl>
    <w:lvl w:ilvl="7" w:tplc="27B801D8">
      <w:start w:val="1"/>
      <w:numFmt w:val="bullet"/>
      <w:lvlText w:val="o"/>
      <w:lvlJc w:val="left"/>
      <w:pPr>
        <w:ind w:left="5760" w:hanging="360"/>
      </w:pPr>
      <w:rPr>
        <w:rFonts w:ascii="Courier New" w:hAnsi="Courier New" w:cs="Courier New" w:hint="default"/>
      </w:rPr>
    </w:lvl>
    <w:lvl w:ilvl="8" w:tplc="03D0BE38">
      <w:start w:val="1"/>
      <w:numFmt w:val="bullet"/>
      <w:lvlText w:val=""/>
      <w:lvlJc w:val="left"/>
      <w:pPr>
        <w:ind w:left="6480" w:hanging="360"/>
      </w:pPr>
      <w:rPr>
        <w:rFonts w:ascii="Wingdings" w:hAnsi="Wingdings" w:hint="default"/>
      </w:rPr>
    </w:lvl>
  </w:abstractNum>
  <w:num w:numId="1" w16cid:durableId="256136628">
    <w:abstractNumId w:val="0"/>
  </w:num>
  <w:num w:numId="2" w16cid:durableId="143204128">
    <w:abstractNumId w:val="1"/>
  </w:num>
  <w:num w:numId="3" w16cid:durableId="1128550638">
    <w:abstractNumId w:val="3"/>
  </w:num>
  <w:num w:numId="4" w16cid:durableId="126825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03D0D"/>
    <w:rsid w:val="000068B8"/>
    <w:rsid w:val="000079C0"/>
    <w:rsid w:val="00012144"/>
    <w:rsid w:val="000127F3"/>
    <w:rsid w:val="00020571"/>
    <w:rsid w:val="00035645"/>
    <w:rsid w:val="000375EA"/>
    <w:rsid w:val="000403C6"/>
    <w:rsid w:val="000455C7"/>
    <w:rsid w:val="000507C7"/>
    <w:rsid w:val="00056FDB"/>
    <w:rsid w:val="00060906"/>
    <w:rsid w:val="00062596"/>
    <w:rsid w:val="0006441F"/>
    <w:rsid w:val="0007500F"/>
    <w:rsid w:val="0008112B"/>
    <w:rsid w:val="00084BEF"/>
    <w:rsid w:val="0008536B"/>
    <w:rsid w:val="00095AF3"/>
    <w:rsid w:val="000A55F2"/>
    <w:rsid w:val="000A64E4"/>
    <w:rsid w:val="000B0968"/>
    <w:rsid w:val="000B20D4"/>
    <w:rsid w:val="000B2E42"/>
    <w:rsid w:val="000B3A66"/>
    <w:rsid w:val="000B7DB0"/>
    <w:rsid w:val="000C04E0"/>
    <w:rsid w:val="000C5A52"/>
    <w:rsid w:val="000D0AC3"/>
    <w:rsid w:val="000D35F5"/>
    <w:rsid w:val="000D57D0"/>
    <w:rsid w:val="000D7AFD"/>
    <w:rsid w:val="000E1FB6"/>
    <w:rsid w:val="000E50C0"/>
    <w:rsid w:val="000E71F0"/>
    <w:rsid w:val="00100E33"/>
    <w:rsid w:val="00107718"/>
    <w:rsid w:val="00113A41"/>
    <w:rsid w:val="001144AC"/>
    <w:rsid w:val="00120B8D"/>
    <w:rsid w:val="0012107E"/>
    <w:rsid w:val="001222C7"/>
    <w:rsid w:val="00123307"/>
    <w:rsid w:val="00125BCA"/>
    <w:rsid w:val="00131912"/>
    <w:rsid w:val="00137496"/>
    <w:rsid w:val="00141B9D"/>
    <w:rsid w:val="00143A80"/>
    <w:rsid w:val="00146A52"/>
    <w:rsid w:val="0014767B"/>
    <w:rsid w:val="001505C8"/>
    <w:rsid w:val="001506C6"/>
    <w:rsid w:val="00150E2D"/>
    <w:rsid w:val="00153797"/>
    <w:rsid w:val="00162B39"/>
    <w:rsid w:val="001660DE"/>
    <w:rsid w:val="001722EA"/>
    <w:rsid w:val="00176F78"/>
    <w:rsid w:val="00180558"/>
    <w:rsid w:val="00182E93"/>
    <w:rsid w:val="001870E3"/>
    <w:rsid w:val="0019386E"/>
    <w:rsid w:val="0019432C"/>
    <w:rsid w:val="00194B9C"/>
    <w:rsid w:val="0019508F"/>
    <w:rsid w:val="00195133"/>
    <w:rsid w:val="001A14C2"/>
    <w:rsid w:val="001A1635"/>
    <w:rsid w:val="001A1BED"/>
    <w:rsid w:val="001A1ECC"/>
    <w:rsid w:val="001A3B61"/>
    <w:rsid w:val="001A5181"/>
    <w:rsid w:val="001B2E0F"/>
    <w:rsid w:val="001B7F90"/>
    <w:rsid w:val="001C1D40"/>
    <w:rsid w:val="001C4780"/>
    <w:rsid w:val="001C56C6"/>
    <w:rsid w:val="001D0373"/>
    <w:rsid w:val="001D0751"/>
    <w:rsid w:val="001D0758"/>
    <w:rsid w:val="001D10B3"/>
    <w:rsid w:val="001D5799"/>
    <w:rsid w:val="001D5E70"/>
    <w:rsid w:val="001D6609"/>
    <w:rsid w:val="001E018B"/>
    <w:rsid w:val="001E145E"/>
    <w:rsid w:val="001E3411"/>
    <w:rsid w:val="001F4500"/>
    <w:rsid w:val="00201E0D"/>
    <w:rsid w:val="00202659"/>
    <w:rsid w:val="00206526"/>
    <w:rsid w:val="002074AC"/>
    <w:rsid w:val="00211AFD"/>
    <w:rsid w:val="00211BDA"/>
    <w:rsid w:val="002134F6"/>
    <w:rsid w:val="00213551"/>
    <w:rsid w:val="00214934"/>
    <w:rsid w:val="002166A4"/>
    <w:rsid w:val="002224B3"/>
    <w:rsid w:val="002232A1"/>
    <w:rsid w:val="00223444"/>
    <w:rsid w:val="00223A69"/>
    <w:rsid w:val="00225B8A"/>
    <w:rsid w:val="00230E45"/>
    <w:rsid w:val="00234DC8"/>
    <w:rsid w:val="00235C91"/>
    <w:rsid w:val="00244293"/>
    <w:rsid w:val="00245CAD"/>
    <w:rsid w:val="00247709"/>
    <w:rsid w:val="00250FEA"/>
    <w:rsid w:val="0025513C"/>
    <w:rsid w:val="0026334F"/>
    <w:rsid w:val="00263CA4"/>
    <w:rsid w:val="002664A8"/>
    <w:rsid w:val="00271CF1"/>
    <w:rsid w:val="00272F63"/>
    <w:rsid w:val="002754F5"/>
    <w:rsid w:val="0028624D"/>
    <w:rsid w:val="0028692C"/>
    <w:rsid w:val="00292B68"/>
    <w:rsid w:val="00295665"/>
    <w:rsid w:val="002A1618"/>
    <w:rsid w:val="002A3411"/>
    <w:rsid w:val="002B3A34"/>
    <w:rsid w:val="002B542E"/>
    <w:rsid w:val="002B72BF"/>
    <w:rsid w:val="002C5741"/>
    <w:rsid w:val="002C77BE"/>
    <w:rsid w:val="002D0FD5"/>
    <w:rsid w:val="002D1AD4"/>
    <w:rsid w:val="002D1E9D"/>
    <w:rsid w:val="002D43AD"/>
    <w:rsid w:val="002D67E6"/>
    <w:rsid w:val="002D6E8E"/>
    <w:rsid w:val="002D6FDA"/>
    <w:rsid w:val="002E1735"/>
    <w:rsid w:val="002E21DE"/>
    <w:rsid w:val="002E5E2F"/>
    <w:rsid w:val="002E765E"/>
    <w:rsid w:val="002E7B89"/>
    <w:rsid w:val="002F34D6"/>
    <w:rsid w:val="00302C96"/>
    <w:rsid w:val="003062BC"/>
    <w:rsid w:val="003068AA"/>
    <w:rsid w:val="00306BC9"/>
    <w:rsid w:val="0031268A"/>
    <w:rsid w:val="00312A37"/>
    <w:rsid w:val="003133C8"/>
    <w:rsid w:val="0031386F"/>
    <w:rsid w:val="00322620"/>
    <w:rsid w:val="00323D11"/>
    <w:rsid w:val="003324CA"/>
    <w:rsid w:val="00335136"/>
    <w:rsid w:val="00340880"/>
    <w:rsid w:val="00340CE6"/>
    <w:rsid w:val="00341CF8"/>
    <w:rsid w:val="00354A28"/>
    <w:rsid w:val="0035760A"/>
    <w:rsid w:val="00360C20"/>
    <w:rsid w:val="003659E2"/>
    <w:rsid w:val="00371BA5"/>
    <w:rsid w:val="00374F28"/>
    <w:rsid w:val="0037579C"/>
    <w:rsid w:val="00380C84"/>
    <w:rsid w:val="00395000"/>
    <w:rsid w:val="003A3B67"/>
    <w:rsid w:val="003B0F3B"/>
    <w:rsid w:val="003B31A2"/>
    <w:rsid w:val="003B334B"/>
    <w:rsid w:val="003B3D61"/>
    <w:rsid w:val="003C0EBE"/>
    <w:rsid w:val="003D0D0B"/>
    <w:rsid w:val="003D11E8"/>
    <w:rsid w:val="003D21DF"/>
    <w:rsid w:val="003D4385"/>
    <w:rsid w:val="003E229B"/>
    <w:rsid w:val="003E2B47"/>
    <w:rsid w:val="003E50C6"/>
    <w:rsid w:val="00400AE9"/>
    <w:rsid w:val="00406896"/>
    <w:rsid w:val="0040737D"/>
    <w:rsid w:val="00412E10"/>
    <w:rsid w:val="00415D18"/>
    <w:rsid w:val="00416266"/>
    <w:rsid w:val="00416589"/>
    <w:rsid w:val="004173CD"/>
    <w:rsid w:val="00422B39"/>
    <w:rsid w:val="0042438E"/>
    <w:rsid w:val="004259CA"/>
    <w:rsid w:val="00436A3A"/>
    <w:rsid w:val="00443B55"/>
    <w:rsid w:val="0045663B"/>
    <w:rsid w:val="0046050D"/>
    <w:rsid w:val="004743F4"/>
    <w:rsid w:val="00475E40"/>
    <w:rsid w:val="0047609D"/>
    <w:rsid w:val="00476EE3"/>
    <w:rsid w:val="00482848"/>
    <w:rsid w:val="00486C6E"/>
    <w:rsid w:val="00490D65"/>
    <w:rsid w:val="00491FCC"/>
    <w:rsid w:val="00492DDE"/>
    <w:rsid w:val="00494A84"/>
    <w:rsid w:val="004952E9"/>
    <w:rsid w:val="004A0C7D"/>
    <w:rsid w:val="004A3C32"/>
    <w:rsid w:val="004A5391"/>
    <w:rsid w:val="004A7204"/>
    <w:rsid w:val="004B63D3"/>
    <w:rsid w:val="004B6B90"/>
    <w:rsid w:val="004C1A93"/>
    <w:rsid w:val="004C37B7"/>
    <w:rsid w:val="004C48ED"/>
    <w:rsid w:val="004D51A7"/>
    <w:rsid w:val="004E299C"/>
    <w:rsid w:val="004F0A2C"/>
    <w:rsid w:val="004F2150"/>
    <w:rsid w:val="004F3BE9"/>
    <w:rsid w:val="004F7329"/>
    <w:rsid w:val="004F7719"/>
    <w:rsid w:val="005073F1"/>
    <w:rsid w:val="005117F7"/>
    <w:rsid w:val="00512922"/>
    <w:rsid w:val="0051345F"/>
    <w:rsid w:val="00516057"/>
    <w:rsid w:val="00517AE9"/>
    <w:rsid w:val="00523870"/>
    <w:rsid w:val="00525A51"/>
    <w:rsid w:val="00544CE1"/>
    <w:rsid w:val="00547AF9"/>
    <w:rsid w:val="0055203F"/>
    <w:rsid w:val="005550B4"/>
    <w:rsid w:val="0055767E"/>
    <w:rsid w:val="00572D4A"/>
    <w:rsid w:val="005813DB"/>
    <w:rsid w:val="0058367F"/>
    <w:rsid w:val="005857CA"/>
    <w:rsid w:val="0059348A"/>
    <w:rsid w:val="005969AF"/>
    <w:rsid w:val="005A0941"/>
    <w:rsid w:val="005A5BEE"/>
    <w:rsid w:val="005B04D5"/>
    <w:rsid w:val="005B06CE"/>
    <w:rsid w:val="005C0B50"/>
    <w:rsid w:val="005C6089"/>
    <w:rsid w:val="005E2F5B"/>
    <w:rsid w:val="005E3964"/>
    <w:rsid w:val="005E4EB5"/>
    <w:rsid w:val="005F2291"/>
    <w:rsid w:val="005F36E6"/>
    <w:rsid w:val="005F49E0"/>
    <w:rsid w:val="00603F18"/>
    <w:rsid w:val="006108AD"/>
    <w:rsid w:val="00617667"/>
    <w:rsid w:val="0061766E"/>
    <w:rsid w:val="00623D00"/>
    <w:rsid w:val="00625C11"/>
    <w:rsid w:val="006262D2"/>
    <w:rsid w:val="00631BCB"/>
    <w:rsid w:val="0063537F"/>
    <w:rsid w:val="00635D01"/>
    <w:rsid w:val="00643FF2"/>
    <w:rsid w:val="00645DC7"/>
    <w:rsid w:val="006464FF"/>
    <w:rsid w:val="00647996"/>
    <w:rsid w:val="00647A15"/>
    <w:rsid w:val="0065014B"/>
    <w:rsid w:val="00660339"/>
    <w:rsid w:val="006616BE"/>
    <w:rsid w:val="0066332F"/>
    <w:rsid w:val="00663FE8"/>
    <w:rsid w:val="00666FAA"/>
    <w:rsid w:val="006762BE"/>
    <w:rsid w:val="00676CAF"/>
    <w:rsid w:val="00677506"/>
    <w:rsid w:val="00680D18"/>
    <w:rsid w:val="006812E9"/>
    <w:rsid w:val="00682185"/>
    <w:rsid w:val="006863D0"/>
    <w:rsid w:val="00687AD4"/>
    <w:rsid w:val="00693280"/>
    <w:rsid w:val="00693659"/>
    <w:rsid w:val="00696A1D"/>
    <w:rsid w:val="00696AE3"/>
    <w:rsid w:val="006A390B"/>
    <w:rsid w:val="006A4FC3"/>
    <w:rsid w:val="006B0CEC"/>
    <w:rsid w:val="006B16C0"/>
    <w:rsid w:val="006B2EB2"/>
    <w:rsid w:val="006B5B15"/>
    <w:rsid w:val="006C21F1"/>
    <w:rsid w:val="006C46BC"/>
    <w:rsid w:val="006C5D5C"/>
    <w:rsid w:val="006D13B3"/>
    <w:rsid w:val="006D413F"/>
    <w:rsid w:val="006D79A3"/>
    <w:rsid w:val="006F0388"/>
    <w:rsid w:val="006F37B5"/>
    <w:rsid w:val="006F3A85"/>
    <w:rsid w:val="00702915"/>
    <w:rsid w:val="0070355F"/>
    <w:rsid w:val="00704931"/>
    <w:rsid w:val="0071156E"/>
    <w:rsid w:val="007135DA"/>
    <w:rsid w:val="0071381F"/>
    <w:rsid w:val="0071540B"/>
    <w:rsid w:val="00715CB2"/>
    <w:rsid w:val="0072255D"/>
    <w:rsid w:val="00726D0E"/>
    <w:rsid w:val="00733F68"/>
    <w:rsid w:val="00735741"/>
    <w:rsid w:val="00737055"/>
    <w:rsid w:val="007376E7"/>
    <w:rsid w:val="00737DBD"/>
    <w:rsid w:val="00740BF9"/>
    <w:rsid w:val="0075010A"/>
    <w:rsid w:val="00750515"/>
    <w:rsid w:val="00752AD3"/>
    <w:rsid w:val="00753612"/>
    <w:rsid w:val="00754E34"/>
    <w:rsid w:val="007556AC"/>
    <w:rsid w:val="00761054"/>
    <w:rsid w:val="0076578D"/>
    <w:rsid w:val="00766016"/>
    <w:rsid w:val="007663E9"/>
    <w:rsid w:val="00767C3B"/>
    <w:rsid w:val="00773630"/>
    <w:rsid w:val="00786615"/>
    <w:rsid w:val="00793EE5"/>
    <w:rsid w:val="007969EA"/>
    <w:rsid w:val="007A17A2"/>
    <w:rsid w:val="007A2294"/>
    <w:rsid w:val="007A3320"/>
    <w:rsid w:val="007C64AB"/>
    <w:rsid w:val="007D70F5"/>
    <w:rsid w:val="007E1FCF"/>
    <w:rsid w:val="007E1FE7"/>
    <w:rsid w:val="007F0624"/>
    <w:rsid w:val="007F2693"/>
    <w:rsid w:val="007F30E2"/>
    <w:rsid w:val="007F3550"/>
    <w:rsid w:val="007F5993"/>
    <w:rsid w:val="007F758B"/>
    <w:rsid w:val="008018C5"/>
    <w:rsid w:val="00801FCF"/>
    <w:rsid w:val="00802CE7"/>
    <w:rsid w:val="00807770"/>
    <w:rsid w:val="0081148B"/>
    <w:rsid w:val="008139F3"/>
    <w:rsid w:val="008170F0"/>
    <w:rsid w:val="0082060C"/>
    <w:rsid w:val="00820AAB"/>
    <w:rsid w:val="008235B7"/>
    <w:rsid w:val="00827763"/>
    <w:rsid w:val="00837A76"/>
    <w:rsid w:val="00840447"/>
    <w:rsid w:val="00841261"/>
    <w:rsid w:val="00850FB4"/>
    <w:rsid w:val="008516C3"/>
    <w:rsid w:val="008535C7"/>
    <w:rsid w:val="0085683D"/>
    <w:rsid w:val="00857E87"/>
    <w:rsid w:val="00864D9E"/>
    <w:rsid w:val="008711F6"/>
    <w:rsid w:val="00872596"/>
    <w:rsid w:val="0087322C"/>
    <w:rsid w:val="00881C03"/>
    <w:rsid w:val="008918C6"/>
    <w:rsid w:val="00892F59"/>
    <w:rsid w:val="00894CC1"/>
    <w:rsid w:val="008977FE"/>
    <w:rsid w:val="008A0E8A"/>
    <w:rsid w:val="008A4D9F"/>
    <w:rsid w:val="008A79FF"/>
    <w:rsid w:val="008B0A0F"/>
    <w:rsid w:val="008B1946"/>
    <w:rsid w:val="008B2973"/>
    <w:rsid w:val="008B7714"/>
    <w:rsid w:val="008C0301"/>
    <w:rsid w:val="008C5B71"/>
    <w:rsid w:val="008D26D0"/>
    <w:rsid w:val="008D50B9"/>
    <w:rsid w:val="008D697C"/>
    <w:rsid w:val="008E3D4D"/>
    <w:rsid w:val="008E4C18"/>
    <w:rsid w:val="008E56ED"/>
    <w:rsid w:val="008F080C"/>
    <w:rsid w:val="008F171B"/>
    <w:rsid w:val="008F1B1E"/>
    <w:rsid w:val="008F31DD"/>
    <w:rsid w:val="00902ED0"/>
    <w:rsid w:val="00903BCD"/>
    <w:rsid w:val="00907495"/>
    <w:rsid w:val="00907DED"/>
    <w:rsid w:val="00914738"/>
    <w:rsid w:val="00914E09"/>
    <w:rsid w:val="009177FB"/>
    <w:rsid w:val="00920ECB"/>
    <w:rsid w:val="0092367C"/>
    <w:rsid w:val="00925DB9"/>
    <w:rsid w:val="00927455"/>
    <w:rsid w:val="00980D9E"/>
    <w:rsid w:val="00982265"/>
    <w:rsid w:val="00991B50"/>
    <w:rsid w:val="009957EE"/>
    <w:rsid w:val="00995E7D"/>
    <w:rsid w:val="00996F9C"/>
    <w:rsid w:val="0099793C"/>
    <w:rsid w:val="009A163A"/>
    <w:rsid w:val="009A2719"/>
    <w:rsid w:val="009A3770"/>
    <w:rsid w:val="009A7C54"/>
    <w:rsid w:val="009B2260"/>
    <w:rsid w:val="009B3485"/>
    <w:rsid w:val="009B590D"/>
    <w:rsid w:val="009B6444"/>
    <w:rsid w:val="009C39C6"/>
    <w:rsid w:val="009D083B"/>
    <w:rsid w:val="009D2326"/>
    <w:rsid w:val="009D5DC6"/>
    <w:rsid w:val="009D6197"/>
    <w:rsid w:val="009D782E"/>
    <w:rsid w:val="009D7C90"/>
    <w:rsid w:val="009D7CB7"/>
    <w:rsid w:val="009E496D"/>
    <w:rsid w:val="009E4B94"/>
    <w:rsid w:val="009F4681"/>
    <w:rsid w:val="009F62F5"/>
    <w:rsid w:val="00A01968"/>
    <w:rsid w:val="00A0350A"/>
    <w:rsid w:val="00A03FA3"/>
    <w:rsid w:val="00A11846"/>
    <w:rsid w:val="00A138A7"/>
    <w:rsid w:val="00A154B4"/>
    <w:rsid w:val="00A237F3"/>
    <w:rsid w:val="00A3231A"/>
    <w:rsid w:val="00A324C2"/>
    <w:rsid w:val="00A36542"/>
    <w:rsid w:val="00A3709B"/>
    <w:rsid w:val="00A373FD"/>
    <w:rsid w:val="00A539CF"/>
    <w:rsid w:val="00A5565D"/>
    <w:rsid w:val="00A576E4"/>
    <w:rsid w:val="00A62353"/>
    <w:rsid w:val="00A65BBB"/>
    <w:rsid w:val="00A65EC8"/>
    <w:rsid w:val="00A72232"/>
    <w:rsid w:val="00A759EC"/>
    <w:rsid w:val="00A82F57"/>
    <w:rsid w:val="00A90229"/>
    <w:rsid w:val="00A906F0"/>
    <w:rsid w:val="00A93076"/>
    <w:rsid w:val="00A94592"/>
    <w:rsid w:val="00A961FA"/>
    <w:rsid w:val="00A9686E"/>
    <w:rsid w:val="00A976CF"/>
    <w:rsid w:val="00AB390C"/>
    <w:rsid w:val="00AB5189"/>
    <w:rsid w:val="00AB63E5"/>
    <w:rsid w:val="00AB7EB1"/>
    <w:rsid w:val="00AC18A4"/>
    <w:rsid w:val="00AC1A44"/>
    <w:rsid w:val="00AC239E"/>
    <w:rsid w:val="00AD416C"/>
    <w:rsid w:val="00AD7B3D"/>
    <w:rsid w:val="00AE2CCD"/>
    <w:rsid w:val="00AE7175"/>
    <w:rsid w:val="00AF0E77"/>
    <w:rsid w:val="00AF46F0"/>
    <w:rsid w:val="00AF57C0"/>
    <w:rsid w:val="00B01F69"/>
    <w:rsid w:val="00B039D8"/>
    <w:rsid w:val="00B13B3F"/>
    <w:rsid w:val="00B14724"/>
    <w:rsid w:val="00B17366"/>
    <w:rsid w:val="00B2038C"/>
    <w:rsid w:val="00B22F8F"/>
    <w:rsid w:val="00B27345"/>
    <w:rsid w:val="00B31E73"/>
    <w:rsid w:val="00B32705"/>
    <w:rsid w:val="00B32900"/>
    <w:rsid w:val="00B343B2"/>
    <w:rsid w:val="00B40008"/>
    <w:rsid w:val="00B444D5"/>
    <w:rsid w:val="00B46A84"/>
    <w:rsid w:val="00B4762E"/>
    <w:rsid w:val="00B536DF"/>
    <w:rsid w:val="00B54574"/>
    <w:rsid w:val="00B55AA2"/>
    <w:rsid w:val="00B57822"/>
    <w:rsid w:val="00B5794A"/>
    <w:rsid w:val="00B6394E"/>
    <w:rsid w:val="00B70D0A"/>
    <w:rsid w:val="00B72E65"/>
    <w:rsid w:val="00B85918"/>
    <w:rsid w:val="00B901C8"/>
    <w:rsid w:val="00B92542"/>
    <w:rsid w:val="00B97AEB"/>
    <w:rsid w:val="00BA4B25"/>
    <w:rsid w:val="00BA7278"/>
    <w:rsid w:val="00BB091A"/>
    <w:rsid w:val="00BB10F0"/>
    <w:rsid w:val="00BB3C1A"/>
    <w:rsid w:val="00BB6270"/>
    <w:rsid w:val="00BC0A5F"/>
    <w:rsid w:val="00BC15ED"/>
    <w:rsid w:val="00BC4685"/>
    <w:rsid w:val="00BD031E"/>
    <w:rsid w:val="00BD67A3"/>
    <w:rsid w:val="00BD74C3"/>
    <w:rsid w:val="00BE126A"/>
    <w:rsid w:val="00BE75A5"/>
    <w:rsid w:val="00BF5D56"/>
    <w:rsid w:val="00BF7DEE"/>
    <w:rsid w:val="00C00E9B"/>
    <w:rsid w:val="00C03DBC"/>
    <w:rsid w:val="00C04227"/>
    <w:rsid w:val="00C2783C"/>
    <w:rsid w:val="00C31CCD"/>
    <w:rsid w:val="00C334EF"/>
    <w:rsid w:val="00C35C89"/>
    <w:rsid w:val="00C415DC"/>
    <w:rsid w:val="00C42C0B"/>
    <w:rsid w:val="00C42EC0"/>
    <w:rsid w:val="00C520FA"/>
    <w:rsid w:val="00C5690A"/>
    <w:rsid w:val="00C61D37"/>
    <w:rsid w:val="00C66004"/>
    <w:rsid w:val="00C73DA0"/>
    <w:rsid w:val="00C75584"/>
    <w:rsid w:val="00C76C4E"/>
    <w:rsid w:val="00C82429"/>
    <w:rsid w:val="00C85CA7"/>
    <w:rsid w:val="00C8696E"/>
    <w:rsid w:val="00C919C8"/>
    <w:rsid w:val="00C9341B"/>
    <w:rsid w:val="00CA0F4C"/>
    <w:rsid w:val="00CA11B9"/>
    <w:rsid w:val="00CA3AFC"/>
    <w:rsid w:val="00CA420F"/>
    <w:rsid w:val="00CA4FE2"/>
    <w:rsid w:val="00CA53EC"/>
    <w:rsid w:val="00CA70D6"/>
    <w:rsid w:val="00CB19A5"/>
    <w:rsid w:val="00CC15FE"/>
    <w:rsid w:val="00CC25B4"/>
    <w:rsid w:val="00CC3250"/>
    <w:rsid w:val="00CC3A22"/>
    <w:rsid w:val="00CC4B7F"/>
    <w:rsid w:val="00CC4D17"/>
    <w:rsid w:val="00CC5C47"/>
    <w:rsid w:val="00CC5DF9"/>
    <w:rsid w:val="00CC6528"/>
    <w:rsid w:val="00CC6C0F"/>
    <w:rsid w:val="00CC7758"/>
    <w:rsid w:val="00CD0897"/>
    <w:rsid w:val="00CD2E43"/>
    <w:rsid w:val="00CD319D"/>
    <w:rsid w:val="00CD7971"/>
    <w:rsid w:val="00CE5ECE"/>
    <w:rsid w:val="00CF2033"/>
    <w:rsid w:val="00CF3EA3"/>
    <w:rsid w:val="00CF6838"/>
    <w:rsid w:val="00CF798C"/>
    <w:rsid w:val="00D019D7"/>
    <w:rsid w:val="00D029C3"/>
    <w:rsid w:val="00D04A7F"/>
    <w:rsid w:val="00D139B2"/>
    <w:rsid w:val="00D15D8F"/>
    <w:rsid w:val="00D251AF"/>
    <w:rsid w:val="00D2547A"/>
    <w:rsid w:val="00D3065D"/>
    <w:rsid w:val="00D3455C"/>
    <w:rsid w:val="00D37344"/>
    <w:rsid w:val="00D37E43"/>
    <w:rsid w:val="00D40E54"/>
    <w:rsid w:val="00D412B7"/>
    <w:rsid w:val="00D457A1"/>
    <w:rsid w:val="00D55484"/>
    <w:rsid w:val="00D55A79"/>
    <w:rsid w:val="00D56D97"/>
    <w:rsid w:val="00D63B12"/>
    <w:rsid w:val="00D709B3"/>
    <w:rsid w:val="00D71669"/>
    <w:rsid w:val="00D818C9"/>
    <w:rsid w:val="00D82BE3"/>
    <w:rsid w:val="00D85BE2"/>
    <w:rsid w:val="00D876EC"/>
    <w:rsid w:val="00D90200"/>
    <w:rsid w:val="00D97182"/>
    <w:rsid w:val="00DA06CE"/>
    <w:rsid w:val="00DA2C1E"/>
    <w:rsid w:val="00DA5F2F"/>
    <w:rsid w:val="00DB1E8C"/>
    <w:rsid w:val="00DB3D9E"/>
    <w:rsid w:val="00DB4956"/>
    <w:rsid w:val="00DB7F49"/>
    <w:rsid w:val="00DC4048"/>
    <w:rsid w:val="00DD299D"/>
    <w:rsid w:val="00DE0A7E"/>
    <w:rsid w:val="00DE122A"/>
    <w:rsid w:val="00DE2329"/>
    <w:rsid w:val="00DF1778"/>
    <w:rsid w:val="00DF61C4"/>
    <w:rsid w:val="00DF6CE7"/>
    <w:rsid w:val="00E01DC5"/>
    <w:rsid w:val="00E0590C"/>
    <w:rsid w:val="00E07E4F"/>
    <w:rsid w:val="00E11EDF"/>
    <w:rsid w:val="00E129A7"/>
    <w:rsid w:val="00E13473"/>
    <w:rsid w:val="00E15211"/>
    <w:rsid w:val="00E169F2"/>
    <w:rsid w:val="00E36F4A"/>
    <w:rsid w:val="00E43DD4"/>
    <w:rsid w:val="00E56C6E"/>
    <w:rsid w:val="00E61FD3"/>
    <w:rsid w:val="00E653B0"/>
    <w:rsid w:val="00E669FB"/>
    <w:rsid w:val="00E72572"/>
    <w:rsid w:val="00E73C5B"/>
    <w:rsid w:val="00E759EE"/>
    <w:rsid w:val="00E76235"/>
    <w:rsid w:val="00E76CD2"/>
    <w:rsid w:val="00E853D7"/>
    <w:rsid w:val="00E91BE6"/>
    <w:rsid w:val="00E94236"/>
    <w:rsid w:val="00E94BD2"/>
    <w:rsid w:val="00E97FB7"/>
    <w:rsid w:val="00EA368C"/>
    <w:rsid w:val="00EB18DA"/>
    <w:rsid w:val="00EB4418"/>
    <w:rsid w:val="00EB4BD8"/>
    <w:rsid w:val="00EC0C9B"/>
    <w:rsid w:val="00EC3003"/>
    <w:rsid w:val="00EC46E6"/>
    <w:rsid w:val="00EC4B96"/>
    <w:rsid w:val="00ED1BCF"/>
    <w:rsid w:val="00ED6A87"/>
    <w:rsid w:val="00ED75A3"/>
    <w:rsid w:val="00EE0C5E"/>
    <w:rsid w:val="00EE3906"/>
    <w:rsid w:val="00EE484A"/>
    <w:rsid w:val="00EE702D"/>
    <w:rsid w:val="00EE7CC7"/>
    <w:rsid w:val="00EF0086"/>
    <w:rsid w:val="00EF0351"/>
    <w:rsid w:val="00F04BAC"/>
    <w:rsid w:val="00F05378"/>
    <w:rsid w:val="00F07979"/>
    <w:rsid w:val="00F12977"/>
    <w:rsid w:val="00F21934"/>
    <w:rsid w:val="00F35263"/>
    <w:rsid w:val="00F36085"/>
    <w:rsid w:val="00F36A94"/>
    <w:rsid w:val="00F36F85"/>
    <w:rsid w:val="00F37564"/>
    <w:rsid w:val="00F37C32"/>
    <w:rsid w:val="00F455C0"/>
    <w:rsid w:val="00F45D3D"/>
    <w:rsid w:val="00F520D7"/>
    <w:rsid w:val="00F52C23"/>
    <w:rsid w:val="00F5359D"/>
    <w:rsid w:val="00F55FA4"/>
    <w:rsid w:val="00F6131A"/>
    <w:rsid w:val="00F624C1"/>
    <w:rsid w:val="00F62C02"/>
    <w:rsid w:val="00F66213"/>
    <w:rsid w:val="00F6777A"/>
    <w:rsid w:val="00F718D5"/>
    <w:rsid w:val="00F72EB4"/>
    <w:rsid w:val="00F75BDD"/>
    <w:rsid w:val="00F76B60"/>
    <w:rsid w:val="00F76C4A"/>
    <w:rsid w:val="00F77D35"/>
    <w:rsid w:val="00F80718"/>
    <w:rsid w:val="00F84CD1"/>
    <w:rsid w:val="00F9493A"/>
    <w:rsid w:val="00FA1FD4"/>
    <w:rsid w:val="00FB424E"/>
    <w:rsid w:val="00FB58AF"/>
    <w:rsid w:val="00FB64F9"/>
    <w:rsid w:val="00FB7ECC"/>
    <w:rsid w:val="00FC0E63"/>
    <w:rsid w:val="00FC683F"/>
    <w:rsid w:val="00FD0F61"/>
    <w:rsid w:val="00FD2BF9"/>
    <w:rsid w:val="00FD3E67"/>
    <w:rsid w:val="00FD7C0A"/>
    <w:rsid w:val="00FE2429"/>
    <w:rsid w:val="00FE2441"/>
    <w:rsid w:val="00FF0ABD"/>
    <w:rsid w:val="00FF4A24"/>
    <w:rsid w:val="00FF784A"/>
    <w:rsid w:val="0BBA7246"/>
    <w:rsid w:val="1B622337"/>
    <w:rsid w:val="2AD03993"/>
    <w:rsid w:val="35769294"/>
    <w:rsid w:val="40BE5954"/>
    <w:rsid w:val="415D8C67"/>
    <w:rsid w:val="42F95CC8"/>
    <w:rsid w:val="46D49E25"/>
    <w:rsid w:val="616BE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F1232E791626D42A4209D08785B3EB2" ma:contentTypeVersion="10" ma:contentTypeDescription="Create a new document." ma:contentTypeScope="" ma:versionID="d694f9228558fe537cd3104b7819eff4">
  <xsd:schema xmlns:xsd="http://www.w3.org/2001/XMLSchema" xmlns:xs="http://www.w3.org/2001/XMLSchema" xmlns:p="http://schemas.microsoft.com/office/2006/metadata/properties" xmlns:ns3="ed291038-68af-44f8-9ebf-8e02159c5ab4" xmlns:ns4="07ab2334-74fa-4654-9f51-48ec6318f44c" targetNamespace="http://schemas.microsoft.com/office/2006/metadata/properties" ma:root="true" ma:fieldsID="d68cb19a36c0d559fb5d4b029ee2bb4e" ns3:_="" ns4:_="">
    <xsd:import namespace="ed291038-68af-44f8-9ebf-8e02159c5ab4"/>
    <xsd:import namespace="07ab2334-74fa-4654-9f51-48ec6318f4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91038-68af-44f8-9ebf-8e02159c5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b2334-74fa-4654-9f51-48ec6318f4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2.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B9966D5-1E9A-4F75-A709-47669068B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91038-68af-44f8-9ebf-8e02159c5ab4"/>
    <ds:schemaRef ds:uri="07ab2334-74fa-4654-9f51-48ec6318f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1535</Words>
  <Characters>8756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FCA US</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Kaileen (FCA)</dc:creator>
  <cp:lastModifiedBy>Paul Johnston</cp:lastModifiedBy>
  <cp:revision>3</cp:revision>
  <dcterms:created xsi:type="dcterms:W3CDTF">2023-08-17T07:15:00Z</dcterms:created>
  <dcterms:modified xsi:type="dcterms:W3CDTF">2023-08-17T08:05:00Z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ContentTypeId">
    <vt:lpwstr>0x010100EF1232E791626D42A4209D08785B3EB2</vt:lpwstr>
  </property>
  <property fmtid="{D5CDD505-2E9C-101B-9397-08002B2CF9AE}" pid="4" name="TitusGUID">
    <vt:lpwstr>4537060a-daa4-433a-a193-48bb8b8e280a</vt:lpwstr>
  </property>
</Properties>
</file>