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6716D25A" w14:textId="6A331690" w:rsidR="00896F71" w:rsidRPr="00BA527D" w:rsidRDefault="0086416D" w:rsidP="00896F71">
      <w:pPr>
        <w:pStyle w:val="SSubjectBlock"/>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BA527D">
        <w:t xml:space="preserve"> </w:t>
      </w:r>
      <w:r w:rsidR="00896F71" w:rsidRPr="00BA527D">
        <w:t xml:space="preserve">Stellantis Employees </w:t>
      </w:r>
      <w:r w:rsidR="00977905" w:rsidRPr="00BA527D">
        <w:t>R</w:t>
      </w:r>
      <w:r w:rsidR="00833D94" w:rsidRPr="00BA527D">
        <w:t>ewarded with</w:t>
      </w:r>
      <w:r w:rsidR="00896F71" w:rsidRPr="00BA527D">
        <w:t xml:space="preserve"> Record </w:t>
      </w:r>
      <w:r w:rsidR="00BA5133" w:rsidRPr="00BA527D">
        <w:t>€</w:t>
      </w:r>
      <w:r w:rsidR="00380020" w:rsidRPr="00BA527D">
        <w:t>2</w:t>
      </w:r>
      <w:r w:rsidR="00896F71" w:rsidRPr="00BA527D">
        <w:t xml:space="preserve"> Billion </w:t>
      </w:r>
      <w:r w:rsidR="00977905" w:rsidRPr="00BA527D">
        <w:t>W</w:t>
      </w:r>
      <w:r w:rsidR="00833D94" w:rsidRPr="00BA527D">
        <w:t xml:space="preserve">orldwide </w:t>
      </w:r>
      <w:r w:rsidR="00977905" w:rsidRPr="00BA527D">
        <w:t>L</w:t>
      </w:r>
      <w:r w:rsidR="00833D94" w:rsidRPr="00BA527D">
        <w:t xml:space="preserve">inked to </w:t>
      </w:r>
      <w:r w:rsidR="00977905" w:rsidRPr="00BA527D">
        <w:t>Full Year 2022</w:t>
      </w:r>
      <w:r w:rsidR="00833D94" w:rsidRPr="00BA527D">
        <w:t xml:space="preserve"> </w:t>
      </w:r>
      <w:r w:rsidR="00896F71" w:rsidRPr="00BA527D">
        <w:t xml:space="preserve">Performance </w:t>
      </w:r>
    </w:p>
    <w:p w14:paraId="684F454E" w14:textId="2EDC633A" w:rsidR="00896F71" w:rsidRPr="00C2470A" w:rsidRDefault="00896F71" w:rsidP="00C444A9">
      <w:pPr>
        <w:pStyle w:val="ListParagraph"/>
        <w:numPr>
          <w:ilvl w:val="0"/>
          <w:numId w:val="16"/>
        </w:numPr>
        <w:rPr>
          <w:rFonts w:ascii="Encode Sans ExpandedLight" w:eastAsia="Encode Sans ExpandedLight" w:hAnsi="Encode Sans ExpandedLight" w:cs="Encode Sans ExpandedLight"/>
          <w:color w:val="000000"/>
        </w:rPr>
      </w:pPr>
      <w:r w:rsidRPr="00DF2376">
        <w:t>€</w:t>
      </w:r>
      <w:r w:rsidR="00380020">
        <w:t>200</w:t>
      </w:r>
      <w:r>
        <w:t xml:space="preserve"> </w:t>
      </w:r>
      <w:r w:rsidR="00EB1B20">
        <w:t xml:space="preserve">million more than for </w:t>
      </w:r>
      <w:r w:rsidR="00977905">
        <w:t xml:space="preserve">full year </w:t>
      </w:r>
      <w:r w:rsidR="00EB1B20">
        <w:t>2021</w:t>
      </w:r>
      <w:r w:rsidR="00977905">
        <w:t>,</w:t>
      </w:r>
      <w:r w:rsidR="00EB1B20">
        <w:t xml:space="preserve"> </w:t>
      </w:r>
      <w:r>
        <w:t xml:space="preserve">as </w:t>
      </w:r>
      <w:r w:rsidR="00EB1B20">
        <w:t>Stellantis</w:t>
      </w:r>
      <w:r>
        <w:t xml:space="preserve"> </w:t>
      </w:r>
      <w:r w:rsidR="00EB1B20">
        <w:t xml:space="preserve">achieved record results </w:t>
      </w:r>
      <w:r w:rsidR="00977905">
        <w:t>in 2022</w:t>
      </w:r>
      <w:r w:rsidR="00EB1B20">
        <w:t xml:space="preserve"> despite </w:t>
      </w:r>
      <w:r>
        <w:t xml:space="preserve">a challenging, supply-constrained year for the industry </w:t>
      </w:r>
    </w:p>
    <w:p w14:paraId="33EF45D4" w14:textId="5008595F" w:rsidR="008A0D73" w:rsidRPr="008A0D73" w:rsidRDefault="00896F71" w:rsidP="00C444A9">
      <w:pPr>
        <w:pStyle w:val="ListParagraph"/>
        <w:numPr>
          <w:ilvl w:val="0"/>
          <w:numId w:val="16"/>
        </w:numPr>
        <w:rPr>
          <w:szCs w:val="24"/>
        </w:rPr>
      </w:pPr>
      <w:r>
        <w:rPr>
          <w:szCs w:val="24"/>
        </w:rPr>
        <w:t>Stellantis co</w:t>
      </w:r>
      <w:r w:rsidRPr="00C2470A">
        <w:rPr>
          <w:szCs w:val="24"/>
        </w:rPr>
        <w:t xml:space="preserve">mpensation and benefit policy </w:t>
      </w:r>
      <w:r w:rsidR="008A0D73">
        <w:rPr>
          <w:szCs w:val="24"/>
        </w:rPr>
        <w:t xml:space="preserve">is </w:t>
      </w:r>
      <w:r w:rsidR="008A0D73" w:rsidRPr="008A0D73">
        <w:rPr>
          <w:szCs w:val="24"/>
        </w:rPr>
        <w:t>based on Stellantis’ variable pay and profit sharing plans, reflects the “pay for performance” approach</w:t>
      </w:r>
      <w:r w:rsidR="00D81238">
        <w:rPr>
          <w:szCs w:val="24"/>
        </w:rPr>
        <w:t xml:space="preserve"> </w:t>
      </w:r>
      <w:r w:rsidR="00D81238" w:rsidRPr="00D81238">
        <w:rPr>
          <w:szCs w:val="24"/>
        </w:rPr>
        <w:t>and supports employee commitment</w:t>
      </w:r>
    </w:p>
    <w:p w14:paraId="6119F9FE" w14:textId="0101806F" w:rsidR="00896F71" w:rsidRDefault="000F2FE8" w:rsidP="00C444A9">
      <w:pPr>
        <w:rPr>
          <w:szCs w:val="24"/>
        </w:rPr>
      </w:pPr>
      <w:r w:rsidRPr="00FE7FA9">
        <w:rPr>
          <w:szCs w:val="24"/>
        </w:rPr>
        <w:t>AMSTERDAM</w:t>
      </w:r>
      <w:r w:rsidR="00032509" w:rsidRPr="00FE7FA9">
        <w:rPr>
          <w:szCs w:val="24"/>
        </w:rPr>
        <w:t xml:space="preserve">, </w:t>
      </w:r>
      <w:r w:rsidR="00A82C90">
        <w:rPr>
          <w:szCs w:val="24"/>
        </w:rPr>
        <w:t>February</w:t>
      </w:r>
      <w:r w:rsidR="00BC24AF">
        <w:rPr>
          <w:szCs w:val="24"/>
        </w:rPr>
        <w:t xml:space="preserve"> </w:t>
      </w:r>
      <w:r w:rsidR="00896F71">
        <w:rPr>
          <w:szCs w:val="24"/>
        </w:rPr>
        <w:t>22</w:t>
      </w:r>
      <w:r w:rsidR="00271869" w:rsidRPr="00FE7FA9">
        <w:rPr>
          <w:szCs w:val="24"/>
        </w:rPr>
        <w:t>, 202</w:t>
      </w:r>
      <w:r w:rsidR="00074112" w:rsidRPr="00FE7FA9">
        <w:rPr>
          <w:szCs w:val="24"/>
        </w:rPr>
        <w:t>3</w:t>
      </w:r>
      <w:r w:rsidR="00F90273" w:rsidRPr="00FE7FA9">
        <w:rPr>
          <w:szCs w:val="24"/>
        </w:rPr>
        <w:t xml:space="preserve"> </w:t>
      </w:r>
      <w:r w:rsidR="00A82C90">
        <w:rPr>
          <w:szCs w:val="24"/>
        </w:rPr>
        <w:t>–</w:t>
      </w:r>
      <w:r w:rsidR="001E6C1E" w:rsidRPr="00FE7FA9">
        <w:rPr>
          <w:szCs w:val="24"/>
        </w:rPr>
        <w:t xml:space="preserve"> </w:t>
      </w:r>
      <w:bookmarkEnd w:id="0"/>
      <w:r w:rsidR="00896F71" w:rsidRPr="00896F71">
        <w:rPr>
          <w:szCs w:val="24"/>
        </w:rPr>
        <w:t xml:space="preserve">Stellantis </w:t>
      </w:r>
      <w:r w:rsidR="00896F71">
        <w:rPr>
          <w:szCs w:val="24"/>
        </w:rPr>
        <w:t xml:space="preserve">today announced it </w:t>
      </w:r>
      <w:r w:rsidR="00896F71" w:rsidRPr="00896F71">
        <w:rPr>
          <w:szCs w:val="24"/>
        </w:rPr>
        <w:t>will distribute a record amount of €</w:t>
      </w:r>
      <w:r w:rsidR="00380020">
        <w:rPr>
          <w:szCs w:val="24"/>
        </w:rPr>
        <w:t>2</w:t>
      </w:r>
      <w:r w:rsidR="00896F71" w:rsidRPr="00896F71">
        <w:rPr>
          <w:szCs w:val="24"/>
        </w:rPr>
        <w:t xml:space="preserve"> billion this year recognizing the performance of employees worldwide, based on the Company’s 2022 financial result</w:t>
      </w:r>
      <w:r w:rsidR="00896F71">
        <w:rPr>
          <w:szCs w:val="24"/>
        </w:rPr>
        <w:t>s and achievements both globally and locally.</w:t>
      </w:r>
    </w:p>
    <w:p w14:paraId="5978E62C" w14:textId="263C1FDC" w:rsidR="00896F71" w:rsidRDefault="00896F71" w:rsidP="00C444A9">
      <w:pPr>
        <w:rPr>
          <w:szCs w:val="24"/>
        </w:rPr>
      </w:pPr>
      <w:r w:rsidRPr="00896F71">
        <w:rPr>
          <w:szCs w:val="24"/>
        </w:rPr>
        <w:t xml:space="preserve">Stellantis achieved exemplary results in 2022, a year that challenged the global automotive industry with continuing supply chain constraints. The year also marked the </w:t>
      </w:r>
      <w:r w:rsidR="00EB1B20">
        <w:rPr>
          <w:szCs w:val="24"/>
        </w:rPr>
        <w:t xml:space="preserve">launch </w:t>
      </w:r>
      <w:r w:rsidRPr="00896F71">
        <w:rPr>
          <w:szCs w:val="24"/>
        </w:rPr>
        <w:t xml:space="preserve">of the Dare Forward 2030 strategic plan, which is transforming the Company into a sustainable </w:t>
      </w:r>
      <w:r>
        <w:rPr>
          <w:szCs w:val="24"/>
        </w:rPr>
        <w:t>mobility tech</w:t>
      </w:r>
      <w:r w:rsidRPr="00896F71">
        <w:rPr>
          <w:szCs w:val="24"/>
        </w:rPr>
        <w:t xml:space="preserve"> leader</w:t>
      </w:r>
      <w:r w:rsidR="00977905">
        <w:rPr>
          <w:szCs w:val="24"/>
        </w:rPr>
        <w:t>.</w:t>
      </w:r>
      <w:r w:rsidR="00EB1B20">
        <w:rPr>
          <w:szCs w:val="24"/>
        </w:rPr>
        <w:t xml:space="preserve"> </w:t>
      </w:r>
      <w:r w:rsidR="00977905">
        <w:rPr>
          <w:szCs w:val="24"/>
        </w:rPr>
        <w:t>W</w:t>
      </w:r>
      <w:r w:rsidRPr="00896F71">
        <w:rPr>
          <w:szCs w:val="24"/>
        </w:rPr>
        <w:t xml:space="preserve">ith a </w:t>
      </w:r>
      <w:r w:rsidR="00EB1B20">
        <w:rPr>
          <w:szCs w:val="24"/>
        </w:rPr>
        <w:t xml:space="preserve">“Care” </w:t>
      </w:r>
      <w:r>
        <w:rPr>
          <w:szCs w:val="24"/>
        </w:rPr>
        <w:t>pillar</w:t>
      </w:r>
      <w:r w:rsidR="00977905">
        <w:rPr>
          <w:szCs w:val="24"/>
        </w:rPr>
        <w:t xml:space="preserve"> dedicated to</w:t>
      </w:r>
      <w:r w:rsidR="00EB1B20">
        <w:rPr>
          <w:szCs w:val="24"/>
        </w:rPr>
        <w:t xml:space="preserve"> employees</w:t>
      </w:r>
      <w:r w:rsidR="00977905">
        <w:rPr>
          <w:szCs w:val="24"/>
        </w:rPr>
        <w:t>,</w:t>
      </w:r>
      <w:r w:rsidR="00EB1B20">
        <w:rPr>
          <w:szCs w:val="24"/>
        </w:rPr>
        <w:t xml:space="preserve"> customers and </w:t>
      </w:r>
      <w:r w:rsidR="00977905">
        <w:rPr>
          <w:szCs w:val="24"/>
        </w:rPr>
        <w:t xml:space="preserve">the </w:t>
      </w:r>
      <w:r w:rsidR="00EB1B20">
        <w:rPr>
          <w:szCs w:val="24"/>
        </w:rPr>
        <w:t xml:space="preserve">environment, </w:t>
      </w:r>
      <w:r w:rsidR="00977905">
        <w:rPr>
          <w:szCs w:val="24"/>
        </w:rPr>
        <w:t xml:space="preserve">the plan </w:t>
      </w:r>
      <w:r w:rsidR="00EB1B20">
        <w:rPr>
          <w:szCs w:val="24"/>
        </w:rPr>
        <w:t>plac</w:t>
      </w:r>
      <w:r w:rsidR="00977905">
        <w:rPr>
          <w:szCs w:val="24"/>
        </w:rPr>
        <w:t>es</w:t>
      </w:r>
      <w:r w:rsidRPr="00896F71">
        <w:rPr>
          <w:szCs w:val="24"/>
        </w:rPr>
        <w:t xml:space="preserve"> Stellantis at the competitive forefront to offer cutting-edge freedom of mobility.</w:t>
      </w:r>
    </w:p>
    <w:p w14:paraId="01CED025" w14:textId="26A9A5FB" w:rsidR="00BA5133" w:rsidRDefault="00BA5133" w:rsidP="00C444A9">
      <w:pPr>
        <w:rPr>
          <w:szCs w:val="24"/>
        </w:rPr>
      </w:pPr>
      <w:r w:rsidRPr="00BA5133">
        <w:rPr>
          <w:szCs w:val="24"/>
        </w:rPr>
        <w:t xml:space="preserve">“Thanks to Stellantis’ record performance results achieved in 2022, we will be </w:t>
      </w:r>
      <w:r w:rsidRPr="00EB6453">
        <w:rPr>
          <w:szCs w:val="24"/>
        </w:rPr>
        <w:t xml:space="preserve">distributing </w:t>
      </w:r>
      <w:r w:rsidR="008522CB" w:rsidRPr="00EB6453">
        <w:rPr>
          <w:szCs w:val="24"/>
        </w:rPr>
        <w:t xml:space="preserve">more than </w:t>
      </w:r>
      <w:r w:rsidRPr="00EB6453">
        <w:rPr>
          <w:szCs w:val="24"/>
        </w:rPr>
        <w:t>€</w:t>
      </w:r>
      <w:r w:rsidR="00380020" w:rsidRPr="00EB6453">
        <w:rPr>
          <w:szCs w:val="24"/>
        </w:rPr>
        <w:t>2</w:t>
      </w:r>
      <w:r w:rsidRPr="00EB6453">
        <w:rPr>
          <w:szCs w:val="24"/>
        </w:rPr>
        <w:t xml:space="preserve"> billion in profit-sharing</w:t>
      </w:r>
      <w:r w:rsidR="00E1100E" w:rsidRPr="00EB6453">
        <w:rPr>
          <w:szCs w:val="24"/>
        </w:rPr>
        <w:t xml:space="preserve"> and variable bonus</w:t>
      </w:r>
      <w:r w:rsidR="00EB1B20" w:rsidRPr="00EB6453">
        <w:rPr>
          <w:szCs w:val="24"/>
        </w:rPr>
        <w:t xml:space="preserve"> </w:t>
      </w:r>
      <w:r w:rsidRPr="00EB6453">
        <w:rPr>
          <w:szCs w:val="24"/>
        </w:rPr>
        <w:t>to Stellantis employees</w:t>
      </w:r>
      <w:r w:rsidRPr="00BA5133">
        <w:rPr>
          <w:szCs w:val="24"/>
        </w:rPr>
        <w:t xml:space="preserve"> across the world</w:t>
      </w:r>
      <w:r>
        <w:rPr>
          <w:szCs w:val="24"/>
        </w:rPr>
        <w:t xml:space="preserve">,” </w:t>
      </w:r>
      <w:r w:rsidRPr="00BA5133">
        <w:rPr>
          <w:szCs w:val="24"/>
        </w:rPr>
        <w:t xml:space="preserve">said </w:t>
      </w:r>
      <w:r w:rsidR="00F72D4C">
        <w:rPr>
          <w:szCs w:val="24"/>
        </w:rPr>
        <w:t xml:space="preserve">Stellantis CEO </w:t>
      </w:r>
      <w:r w:rsidRPr="00BA5133">
        <w:rPr>
          <w:szCs w:val="24"/>
        </w:rPr>
        <w:t xml:space="preserve">Carlos Tavares. </w:t>
      </w:r>
      <w:r>
        <w:rPr>
          <w:szCs w:val="24"/>
        </w:rPr>
        <w:t>“</w:t>
      </w:r>
      <w:r w:rsidRPr="00BA5133">
        <w:rPr>
          <w:szCs w:val="24"/>
        </w:rPr>
        <w:t xml:space="preserve">It’s </w:t>
      </w:r>
      <w:r w:rsidRPr="00977905">
        <w:rPr>
          <w:szCs w:val="24"/>
        </w:rPr>
        <w:t>€</w:t>
      </w:r>
      <w:r w:rsidR="00380020">
        <w:rPr>
          <w:szCs w:val="24"/>
        </w:rPr>
        <w:t>200</w:t>
      </w:r>
      <w:r w:rsidR="00EB1B20">
        <w:rPr>
          <w:szCs w:val="24"/>
        </w:rPr>
        <w:t xml:space="preserve"> </w:t>
      </w:r>
      <w:r w:rsidRPr="00BA5133">
        <w:rPr>
          <w:szCs w:val="24"/>
        </w:rPr>
        <w:t xml:space="preserve">million more than last year and it is a fair recognition of the contribution of all Stellantis employees to make Stellantis win in a very demanding economic context.  When the Company does well, all </w:t>
      </w:r>
      <w:r w:rsidR="00EB1B20">
        <w:rPr>
          <w:szCs w:val="24"/>
        </w:rPr>
        <w:t xml:space="preserve">employees </w:t>
      </w:r>
      <w:r w:rsidRPr="00BA5133">
        <w:rPr>
          <w:szCs w:val="24"/>
        </w:rPr>
        <w:t xml:space="preserve">do well – that’s what our pay-for-performance culture is all about.” </w:t>
      </w:r>
    </w:p>
    <w:p w14:paraId="71338CF7" w14:textId="5A135EA2" w:rsidR="000C24E1" w:rsidRPr="0026471E" w:rsidRDefault="007E72E8" w:rsidP="00C444A9">
      <w:pPr>
        <w:jc w:val="center"/>
      </w:pPr>
      <w:r>
        <w:t>###</w:t>
      </w:r>
    </w:p>
    <w:p w14:paraId="4B74147A" w14:textId="77777777" w:rsidR="00B96799" w:rsidRPr="007819D6" w:rsidRDefault="00B96799" w:rsidP="000F2FE8">
      <w:pPr>
        <w:pStyle w:val="SDatePlace"/>
        <w:rPr>
          <w:b/>
          <w:color w:val="243782" w:themeColor="accent1"/>
          <w:sz w:val="22"/>
        </w:rPr>
      </w:pPr>
      <w:r w:rsidRPr="007819D6">
        <w:rPr>
          <w:b/>
          <w:color w:val="243782" w:themeColor="accent1"/>
          <w:sz w:val="22"/>
        </w:rPr>
        <w:lastRenderedPageBreak/>
        <w:t>About Stellantis</w:t>
      </w:r>
    </w:p>
    <w:p w14:paraId="3F427392" w14:textId="622310A9" w:rsidR="007819D6" w:rsidRPr="007819D6" w:rsidRDefault="007819D6" w:rsidP="007819D6">
      <w:pPr>
        <w:rPr>
          <w:rFonts w:eastAsia="Encode Sans" w:cs="Encode Sans"/>
          <w:i/>
          <w:color w:val="222222"/>
          <w:sz w:val="22"/>
          <w:szCs w:val="24"/>
          <w:highlight w:val="white"/>
        </w:rPr>
      </w:pPr>
      <w:r w:rsidRPr="00282E05">
        <w:rPr>
          <w:rFonts w:eastAsia="Encode Sans" w:cs="Encode Sans"/>
          <w:i/>
          <w:color w:val="222222"/>
          <w:sz w:val="22"/>
          <w:szCs w:val="24"/>
        </w:rPr>
        <w:t xml:space="preserve">Stellantis N.V. </w:t>
      </w:r>
      <w:r w:rsidR="00BC24AF" w:rsidRPr="00282E05">
        <w:rPr>
          <w:rFonts w:eastAsia="Encode Sans" w:cs="Encode Sans"/>
          <w:i/>
          <w:color w:val="222222"/>
          <w:sz w:val="22"/>
          <w:szCs w:val="24"/>
        </w:rPr>
        <w:t>(NYSE: STLA / Euronext Milan: STLAM / Euronext Paris: STLAP)</w:t>
      </w:r>
      <w:r w:rsidR="00BC24AF">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FE7FA9">
        <w:rPr>
          <w:rFonts w:eastAsia="Encode Sans" w:cs="Encode Sans"/>
          <w:i/>
          <w:color w:val="243782" w:themeColor="accent1"/>
          <w:sz w:val="22"/>
          <w:szCs w:val="24"/>
          <w:highlight w:val="white"/>
        </w:rPr>
        <w:t>www.stellantis.com</w:t>
      </w:r>
      <w:r w:rsidRPr="00FE7FA9">
        <w:rPr>
          <w:rFonts w:eastAsia="Encode Sans" w:cs="Encode Sans"/>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896F7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2" w:name="_Hlk61784883"/>
            <w:r w:rsidRPr="0085397B">
              <w:t>For more information</w:t>
            </w:r>
            <w:r>
              <w:t>,</w:t>
            </w:r>
            <w:r w:rsidRPr="0085397B">
              <w:t xml:space="preserve"> contact:</w:t>
            </w:r>
          </w:p>
          <w:bookmarkStart w:id="3" w:name="_Hlk97712922" w:displacedByCustomXml="next"/>
          <w:sdt>
            <w:sdtPr>
              <w:rPr>
                <w:sz w:val="20"/>
              </w:rPr>
              <w:id w:val="143632974"/>
              <w:placeholder>
                <w:docPart w:val="E13664CCD2AD4979B4C83BA5335883C9"/>
              </w:placeholder>
            </w:sdtPr>
            <w:sdtEndPr/>
            <w:sdtContent>
              <w:p w14:paraId="0A2AC9C4" w14:textId="77777777" w:rsidR="00FE7FA9" w:rsidRPr="00977537" w:rsidRDefault="00AA614D" w:rsidP="00FE7FA9">
                <w:pPr>
                  <w:pStyle w:val="SContact-Sendersinfo"/>
                </w:pPr>
                <w:sdt>
                  <w:sdtPr>
                    <w:rPr>
                      <w:sz w:val="20"/>
                      <w:szCs w:val="20"/>
                    </w:rPr>
                    <w:id w:val="-1719962335"/>
                    <w:placeholder>
                      <w:docPart w:val="B9277BC0B15E4B79AE7945F7C624CE25"/>
                    </w:placeholder>
                  </w:sdtPr>
                  <w:sdtEndPr/>
                  <w:sdtContent>
                    <w:proofErr w:type="spellStart"/>
                    <w:r w:rsidR="00FE7FA9" w:rsidRPr="00977537">
                      <w:rPr>
                        <w:sz w:val="20"/>
                        <w:szCs w:val="20"/>
                      </w:rPr>
                      <w:t>Fernão</w:t>
                    </w:r>
                    <w:proofErr w:type="spellEnd"/>
                    <w:r w:rsidR="00FE7FA9" w:rsidRPr="00977537">
                      <w:rPr>
                        <w:sz w:val="20"/>
                        <w:szCs w:val="20"/>
                      </w:rPr>
                      <w:t xml:space="preserve">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FE7FA9" w:rsidRPr="00977537">
                              <w:rPr>
                                <w:sz w:val="20"/>
                                <w:szCs w:val="20"/>
                              </w:rPr>
                              <w:t>SILVEIRA</w:t>
                            </w:r>
                          </w:sdtContent>
                        </w:sdt>
                      </w:sdtContent>
                    </w:sdt>
                    <w:r w:rsidR="00FE7FA9" w:rsidRPr="00977537">
                      <w:rPr>
                        <w:sz w:val="20"/>
                        <w:szCs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FE7FA9" w:rsidRPr="00977537">
                          <w:rPr>
                            <w:rFonts w:ascii="Encode Sans ExpandedLight" w:hAnsi="Encode Sans ExpandedLight"/>
                            <w:sz w:val="20"/>
                            <w:szCs w:val="20"/>
                          </w:rPr>
                          <w:t>+31 6 43 25 43 41 – fernao.silveira@stellantis.com</w:t>
                        </w:r>
                      </w:sdtContent>
                    </w:sdt>
                  </w:sdtContent>
                </w:sdt>
              </w:p>
            </w:sdtContent>
          </w:sdt>
          <w:bookmarkEnd w:id="3"/>
          <w:p w14:paraId="6B052661" w14:textId="6BDBFD44" w:rsidR="001E6C1E" w:rsidRPr="00CC6EFD" w:rsidRDefault="00B862DF" w:rsidP="000F2FE8">
            <w:pPr>
              <w:pStyle w:val="SFooter-Emailwebsite"/>
              <w:rPr>
                <w:lang w:val="it-IT"/>
              </w:rPr>
            </w:pPr>
            <w:r>
              <w:fldChar w:fldCharType="begin"/>
            </w:r>
            <w:r w:rsidRPr="00896F71">
              <w:rPr>
                <w:lang w:val="it-IT"/>
              </w:rPr>
              <w:instrText xml:space="preserve"> HYPERLINK "mailto:communications@stellantis.com" </w:instrText>
            </w:r>
            <w:r>
              <w:fldChar w:fldCharType="separate"/>
            </w:r>
            <w:r w:rsidR="00FB502F" w:rsidRPr="00CC6EFD">
              <w:rPr>
                <w:rStyle w:val="Hyperlink"/>
                <w:lang w:val="it-IT"/>
              </w:rPr>
              <w:t>communications@stellantis.com</w:t>
            </w:r>
            <w:r>
              <w:rPr>
                <w:rStyle w:val="Hyperlink"/>
                <w:lang w:val="it-IT"/>
              </w:rPr>
              <w:fldChar w:fldCharType="end"/>
            </w:r>
            <w:r w:rsidR="001E6C1E" w:rsidRPr="00CC6EFD">
              <w:rPr>
                <w:lang w:val="it-IT"/>
              </w:rPr>
              <w:br/>
              <w:t>www.stellantis.com</w:t>
            </w:r>
            <w:bookmarkEnd w:id="2"/>
          </w:p>
        </w:tc>
      </w:tr>
      <w:bookmarkEnd w:id="1"/>
    </w:tbl>
    <w:p w14:paraId="335797CE" w14:textId="77777777" w:rsidR="00D814DF" w:rsidRPr="00CC6EFD" w:rsidRDefault="00D814DF" w:rsidP="0026471E">
      <w:pPr>
        <w:tabs>
          <w:tab w:val="left" w:pos="8280"/>
        </w:tabs>
        <w:spacing w:after="0"/>
        <w:jc w:val="left"/>
        <w:rPr>
          <w:lang w:val="it-IT"/>
        </w:rPr>
      </w:pPr>
    </w:p>
    <w:sectPr w:rsidR="00D814DF" w:rsidRPr="00CC6EFD" w:rsidSect="0026471E">
      <w:headerReference w:type="first" r:id="rId11"/>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767B" w14:textId="77777777" w:rsidR="00AA614D" w:rsidRDefault="00AA614D" w:rsidP="008D3E4C">
      <w:r>
        <w:separator/>
      </w:r>
    </w:p>
  </w:endnote>
  <w:endnote w:type="continuationSeparator" w:id="0">
    <w:p w14:paraId="0C1E2F88" w14:textId="77777777" w:rsidR="00AA614D" w:rsidRDefault="00AA614D"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B92EF9E-9D75-4FF9-B666-81474B6FF647}"/>
    <w:embedBold r:id="rId2" w:fontKey="{8F60BA52-FBB4-43AC-BA85-589245BD3B1B}"/>
    <w:embedItalic r:id="rId3" w:fontKey="{EBA44130-8FAB-45E3-8BAE-872E0B80C354}"/>
  </w:font>
  <w:font w:name="Encode Sans ExpandedSemiBold">
    <w:panose1 w:val="00000000000000000000"/>
    <w:charset w:val="00"/>
    <w:family w:val="auto"/>
    <w:pitch w:val="variable"/>
    <w:sig w:usb0="A00000FF" w:usb1="4000207B" w:usb2="00000000" w:usb3="00000000" w:csb0="00000193" w:csb1="00000000"/>
    <w:embedRegular r:id="rId4" w:fontKey="{9AA57B72-86DB-448A-81FE-B6EE4A16A554}"/>
    <w:embedItalic r:id="rId5" w:fontKey="{F1CA2AEF-1E7C-4883-B6F0-B47248E5F1BA}"/>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450E" w14:textId="77777777" w:rsidR="00AA614D" w:rsidRDefault="00AA614D" w:rsidP="008D3E4C">
      <w:r>
        <w:separator/>
      </w:r>
    </w:p>
  </w:footnote>
  <w:footnote w:type="continuationSeparator" w:id="0">
    <w:p w14:paraId="7F04805E" w14:textId="77777777" w:rsidR="00AA614D" w:rsidRDefault="00AA614D"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21C51"/>
    <w:rsid w:val="00023056"/>
    <w:rsid w:val="00032509"/>
    <w:rsid w:val="00034E71"/>
    <w:rsid w:val="00055F10"/>
    <w:rsid w:val="0006020F"/>
    <w:rsid w:val="00074112"/>
    <w:rsid w:val="00087566"/>
    <w:rsid w:val="000B55A2"/>
    <w:rsid w:val="000B6E83"/>
    <w:rsid w:val="000C24E1"/>
    <w:rsid w:val="000F2FE8"/>
    <w:rsid w:val="00103DF5"/>
    <w:rsid w:val="0010465E"/>
    <w:rsid w:val="00126E5A"/>
    <w:rsid w:val="00140A24"/>
    <w:rsid w:val="00140D0E"/>
    <w:rsid w:val="001507D9"/>
    <w:rsid w:val="00150AD4"/>
    <w:rsid w:val="00154A25"/>
    <w:rsid w:val="0015732F"/>
    <w:rsid w:val="00195CBD"/>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2220"/>
    <w:rsid w:val="00251BEE"/>
    <w:rsid w:val="00253AD7"/>
    <w:rsid w:val="00257500"/>
    <w:rsid w:val="0026471E"/>
    <w:rsid w:val="00271869"/>
    <w:rsid w:val="00282E05"/>
    <w:rsid w:val="002836DD"/>
    <w:rsid w:val="002936D1"/>
    <w:rsid w:val="00293E0C"/>
    <w:rsid w:val="002A73B3"/>
    <w:rsid w:val="002C508D"/>
    <w:rsid w:val="002F705B"/>
    <w:rsid w:val="00306422"/>
    <w:rsid w:val="00322BCE"/>
    <w:rsid w:val="00352C28"/>
    <w:rsid w:val="0036683D"/>
    <w:rsid w:val="00380020"/>
    <w:rsid w:val="00385D53"/>
    <w:rsid w:val="003864AD"/>
    <w:rsid w:val="003D0000"/>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830B1"/>
    <w:rsid w:val="00484232"/>
    <w:rsid w:val="004D61EA"/>
    <w:rsid w:val="004F7D4E"/>
    <w:rsid w:val="00501A19"/>
    <w:rsid w:val="0051589C"/>
    <w:rsid w:val="00521D0C"/>
    <w:rsid w:val="00521EAA"/>
    <w:rsid w:val="00544345"/>
    <w:rsid w:val="00546209"/>
    <w:rsid w:val="00546DF7"/>
    <w:rsid w:val="0055479C"/>
    <w:rsid w:val="00562D3D"/>
    <w:rsid w:val="00581D2D"/>
    <w:rsid w:val="00590D1A"/>
    <w:rsid w:val="0059213B"/>
    <w:rsid w:val="005B024F"/>
    <w:rsid w:val="005B3444"/>
    <w:rsid w:val="005C775F"/>
    <w:rsid w:val="005D1D6D"/>
    <w:rsid w:val="005D2EA9"/>
    <w:rsid w:val="005E7E50"/>
    <w:rsid w:val="005F2120"/>
    <w:rsid w:val="0061682B"/>
    <w:rsid w:val="00622F76"/>
    <w:rsid w:val="0063678A"/>
    <w:rsid w:val="006444A1"/>
    <w:rsid w:val="00646166"/>
    <w:rsid w:val="00655A10"/>
    <w:rsid w:val="00666A99"/>
    <w:rsid w:val="0068065A"/>
    <w:rsid w:val="00682310"/>
    <w:rsid w:val="006B5C7E"/>
    <w:rsid w:val="006E27BF"/>
    <w:rsid w:val="006F2BCB"/>
    <w:rsid w:val="00700983"/>
    <w:rsid w:val="00725131"/>
    <w:rsid w:val="00753A05"/>
    <w:rsid w:val="00770627"/>
    <w:rsid w:val="007819D6"/>
    <w:rsid w:val="00792556"/>
    <w:rsid w:val="007A46E2"/>
    <w:rsid w:val="007B6150"/>
    <w:rsid w:val="007D520B"/>
    <w:rsid w:val="007E317D"/>
    <w:rsid w:val="007E72E8"/>
    <w:rsid w:val="007F4C9B"/>
    <w:rsid w:val="0080313B"/>
    <w:rsid w:val="00805FAA"/>
    <w:rsid w:val="008124BD"/>
    <w:rsid w:val="00813079"/>
    <w:rsid w:val="00815B14"/>
    <w:rsid w:val="00833D94"/>
    <w:rsid w:val="00844956"/>
    <w:rsid w:val="008522CB"/>
    <w:rsid w:val="0086416D"/>
    <w:rsid w:val="00877117"/>
    <w:rsid w:val="00896F71"/>
    <w:rsid w:val="008974FB"/>
    <w:rsid w:val="008A0D73"/>
    <w:rsid w:val="008B18D5"/>
    <w:rsid w:val="008B4CD5"/>
    <w:rsid w:val="008B718E"/>
    <w:rsid w:val="008C6A96"/>
    <w:rsid w:val="008D3E4C"/>
    <w:rsid w:val="008E56C7"/>
    <w:rsid w:val="008F0F07"/>
    <w:rsid w:val="008F2A13"/>
    <w:rsid w:val="00902878"/>
    <w:rsid w:val="00925C7D"/>
    <w:rsid w:val="00937AAD"/>
    <w:rsid w:val="00967AD8"/>
    <w:rsid w:val="00977537"/>
    <w:rsid w:val="00977905"/>
    <w:rsid w:val="009803AD"/>
    <w:rsid w:val="00992BE1"/>
    <w:rsid w:val="00994391"/>
    <w:rsid w:val="009968C5"/>
    <w:rsid w:val="009A12F3"/>
    <w:rsid w:val="009A23AB"/>
    <w:rsid w:val="009C33F1"/>
    <w:rsid w:val="009D180E"/>
    <w:rsid w:val="009D5F52"/>
    <w:rsid w:val="009D79F4"/>
    <w:rsid w:val="00A00B9C"/>
    <w:rsid w:val="00A0245A"/>
    <w:rsid w:val="00A2101C"/>
    <w:rsid w:val="00A33E8D"/>
    <w:rsid w:val="00A42BA7"/>
    <w:rsid w:val="00A748DE"/>
    <w:rsid w:val="00A82C90"/>
    <w:rsid w:val="00A87390"/>
    <w:rsid w:val="00AA614D"/>
    <w:rsid w:val="00AB7CB4"/>
    <w:rsid w:val="00AF79B8"/>
    <w:rsid w:val="00B13E00"/>
    <w:rsid w:val="00B177DF"/>
    <w:rsid w:val="00B208D6"/>
    <w:rsid w:val="00B32F4C"/>
    <w:rsid w:val="00B63033"/>
    <w:rsid w:val="00B64F18"/>
    <w:rsid w:val="00B705E2"/>
    <w:rsid w:val="00B862DF"/>
    <w:rsid w:val="00B92FB1"/>
    <w:rsid w:val="00B96799"/>
    <w:rsid w:val="00BA3E3E"/>
    <w:rsid w:val="00BA5133"/>
    <w:rsid w:val="00BA527D"/>
    <w:rsid w:val="00BC24AF"/>
    <w:rsid w:val="00BF5165"/>
    <w:rsid w:val="00C0321D"/>
    <w:rsid w:val="00C079E1"/>
    <w:rsid w:val="00C10E75"/>
    <w:rsid w:val="00C144D6"/>
    <w:rsid w:val="00C21B90"/>
    <w:rsid w:val="00C31F14"/>
    <w:rsid w:val="00C363C0"/>
    <w:rsid w:val="00C444A9"/>
    <w:rsid w:val="00C60A64"/>
    <w:rsid w:val="00C814CD"/>
    <w:rsid w:val="00C97693"/>
    <w:rsid w:val="00CC22A9"/>
    <w:rsid w:val="00CC6BBE"/>
    <w:rsid w:val="00CC6EFD"/>
    <w:rsid w:val="00CF3870"/>
    <w:rsid w:val="00CF4B75"/>
    <w:rsid w:val="00D00F9C"/>
    <w:rsid w:val="00D0485C"/>
    <w:rsid w:val="00D1177D"/>
    <w:rsid w:val="00D136C8"/>
    <w:rsid w:val="00D239E7"/>
    <w:rsid w:val="00D265D9"/>
    <w:rsid w:val="00D43A60"/>
    <w:rsid w:val="00D5456A"/>
    <w:rsid w:val="00D54C2A"/>
    <w:rsid w:val="00D76779"/>
    <w:rsid w:val="00D81238"/>
    <w:rsid w:val="00D814DF"/>
    <w:rsid w:val="00D82E59"/>
    <w:rsid w:val="00DA27E1"/>
    <w:rsid w:val="00DA2CDE"/>
    <w:rsid w:val="00DC18C2"/>
    <w:rsid w:val="00DE72B9"/>
    <w:rsid w:val="00DF5711"/>
    <w:rsid w:val="00E014CA"/>
    <w:rsid w:val="00E1100E"/>
    <w:rsid w:val="00E35DF9"/>
    <w:rsid w:val="00E45FDD"/>
    <w:rsid w:val="00E53F39"/>
    <w:rsid w:val="00E6144F"/>
    <w:rsid w:val="00E636E5"/>
    <w:rsid w:val="00E73507"/>
    <w:rsid w:val="00E8163B"/>
    <w:rsid w:val="00E82EAD"/>
    <w:rsid w:val="00E90B5F"/>
    <w:rsid w:val="00E93724"/>
    <w:rsid w:val="00E953BE"/>
    <w:rsid w:val="00EB1B20"/>
    <w:rsid w:val="00EB6453"/>
    <w:rsid w:val="00EF0F21"/>
    <w:rsid w:val="00EF16D8"/>
    <w:rsid w:val="00F40E56"/>
    <w:rsid w:val="00F5284E"/>
    <w:rsid w:val="00F5685A"/>
    <w:rsid w:val="00F628D9"/>
    <w:rsid w:val="00F663F7"/>
    <w:rsid w:val="00F66CF5"/>
    <w:rsid w:val="00F7137E"/>
    <w:rsid w:val="00F72D4C"/>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styleId="UnresolvedMention">
    <w:name w:val="Unresolved Mention"/>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80CF9"/>
    <w:rsid w:val="000E72C3"/>
    <w:rsid w:val="0017027B"/>
    <w:rsid w:val="00286664"/>
    <w:rsid w:val="002C0D46"/>
    <w:rsid w:val="002E5869"/>
    <w:rsid w:val="00303A22"/>
    <w:rsid w:val="00312839"/>
    <w:rsid w:val="00320C69"/>
    <w:rsid w:val="00350F86"/>
    <w:rsid w:val="0035789C"/>
    <w:rsid w:val="003846E1"/>
    <w:rsid w:val="003B479B"/>
    <w:rsid w:val="004117DE"/>
    <w:rsid w:val="00446CA8"/>
    <w:rsid w:val="00460C52"/>
    <w:rsid w:val="00463C8D"/>
    <w:rsid w:val="004739DE"/>
    <w:rsid w:val="00556BF1"/>
    <w:rsid w:val="0059417C"/>
    <w:rsid w:val="005F2BD3"/>
    <w:rsid w:val="006222F3"/>
    <w:rsid w:val="007063D6"/>
    <w:rsid w:val="00711DAD"/>
    <w:rsid w:val="00712010"/>
    <w:rsid w:val="00775A60"/>
    <w:rsid w:val="007814A7"/>
    <w:rsid w:val="00787479"/>
    <w:rsid w:val="007E53F2"/>
    <w:rsid w:val="0087101D"/>
    <w:rsid w:val="00871462"/>
    <w:rsid w:val="00896646"/>
    <w:rsid w:val="008B4D03"/>
    <w:rsid w:val="00901F4B"/>
    <w:rsid w:val="00904AA3"/>
    <w:rsid w:val="009139EA"/>
    <w:rsid w:val="00957318"/>
    <w:rsid w:val="00966E45"/>
    <w:rsid w:val="009848C7"/>
    <w:rsid w:val="009C4A50"/>
    <w:rsid w:val="00A00D69"/>
    <w:rsid w:val="00A90464"/>
    <w:rsid w:val="00AD6838"/>
    <w:rsid w:val="00AE318E"/>
    <w:rsid w:val="00B328E2"/>
    <w:rsid w:val="00C12EF2"/>
    <w:rsid w:val="00C330AB"/>
    <w:rsid w:val="00CE7CAF"/>
    <w:rsid w:val="00CF4DDB"/>
    <w:rsid w:val="00CF7107"/>
    <w:rsid w:val="00E20551"/>
    <w:rsid w:val="00E7553B"/>
    <w:rsid w:val="00E83D16"/>
    <w:rsid w:val="00EB4E0A"/>
    <w:rsid w:val="00EC2C2D"/>
    <w:rsid w:val="00ED39D5"/>
    <w:rsid w:val="00F2319B"/>
    <w:rsid w:val="00F46C01"/>
    <w:rsid w:val="00F502D0"/>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67</TotalTime>
  <Pages>2</Pages>
  <Words>422</Words>
  <Characters>2281</Characters>
  <Application>Microsoft Office Word</Application>
  <DocSecurity>0</DocSecurity>
  <Lines>32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4</cp:revision>
  <cp:lastPrinted>2021-12-06T22:23:00Z</cp:lastPrinted>
  <dcterms:created xsi:type="dcterms:W3CDTF">2023-02-21T15:05:00Z</dcterms:created>
  <dcterms:modified xsi:type="dcterms:W3CDTF">2023-02-22T05:18:00Z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