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643D" w14:textId="77777777" w:rsidR="00E305A9" w:rsidRPr="00F0010C" w:rsidRDefault="00E305A9" w:rsidP="00F0010C">
      <w:pPr>
        <w:spacing w:after="0" w:line="240" w:lineRule="auto"/>
        <w:jc w:val="center"/>
        <w:outlineLvl w:val="0"/>
        <w:rPr>
          <w:rFonts w:ascii="Arial" w:hAnsi="Arial" w:cs="Arial"/>
          <w:b/>
          <w:sz w:val="24"/>
        </w:rPr>
      </w:pPr>
      <w:bookmarkStart w:id="0" w:name="_cp_text_2_1"/>
    </w:p>
    <w:p w14:paraId="2B6CD4E0" w14:textId="77777777" w:rsidR="00E305A9" w:rsidRPr="00F0010C" w:rsidRDefault="00E305A9" w:rsidP="00B63CAC">
      <w:pPr>
        <w:pStyle w:val="Corpsdetexte"/>
        <w:spacing w:before="0" w:after="0" w:line="240" w:lineRule="auto"/>
        <w:ind w:right="144"/>
        <w:rPr>
          <w:rStyle w:val="lev"/>
          <w:rFonts w:ascii="Arial" w:hAnsi="Arial" w:cs="Arial"/>
          <w:kern w:val="36"/>
          <w:sz w:val="24"/>
        </w:rPr>
      </w:pPr>
    </w:p>
    <w:p w14:paraId="2CCD9ABD" w14:textId="77777777" w:rsidR="00920A9C" w:rsidRPr="00F0010C" w:rsidRDefault="00920A9C" w:rsidP="00B63CAC">
      <w:pPr>
        <w:pStyle w:val="Corpsdetexte"/>
        <w:spacing w:before="0" w:after="0" w:line="240" w:lineRule="auto"/>
        <w:ind w:right="144"/>
        <w:rPr>
          <w:rStyle w:val="lev"/>
          <w:rFonts w:ascii="Arial" w:hAnsi="Arial" w:cs="Arial"/>
          <w:kern w:val="36"/>
          <w:sz w:val="24"/>
        </w:rPr>
      </w:pPr>
    </w:p>
    <w:p w14:paraId="1F5956EA" w14:textId="77777777" w:rsidR="00E305A9" w:rsidRPr="00F0010C" w:rsidRDefault="00E305A9" w:rsidP="00B63CAC">
      <w:pPr>
        <w:pStyle w:val="Corpsdetexte"/>
        <w:spacing w:before="0" w:after="0" w:line="240" w:lineRule="auto"/>
        <w:ind w:right="144"/>
        <w:rPr>
          <w:rStyle w:val="lev"/>
          <w:rFonts w:ascii="Arial" w:hAnsi="Arial" w:cs="Arial"/>
          <w:kern w:val="36"/>
          <w:sz w:val="24"/>
        </w:rPr>
      </w:pPr>
    </w:p>
    <w:p w14:paraId="0CD0311C" w14:textId="1B71BBFD" w:rsidR="009D6401" w:rsidRPr="00F0010C" w:rsidRDefault="009D6401" w:rsidP="00B63CAC">
      <w:pPr>
        <w:spacing w:after="0" w:line="240" w:lineRule="auto"/>
        <w:jc w:val="center"/>
        <w:outlineLvl w:val="0"/>
        <w:rPr>
          <w:rFonts w:ascii="Arial" w:hAnsi="Arial" w:cs="Arial"/>
          <w:b/>
          <w:sz w:val="32"/>
          <w:szCs w:val="32"/>
        </w:rPr>
      </w:pPr>
      <w:r>
        <w:rPr>
          <w:rFonts w:ascii="Arial" w:hAnsi="Arial"/>
          <w:b/>
          <w:sz w:val="32"/>
          <w:szCs w:val="32"/>
        </w:rPr>
        <w:t xml:space="preserve">Stellantis signe avec NioCorp </w:t>
      </w:r>
      <w:r w:rsidR="00BE0AEF">
        <w:rPr>
          <w:rFonts w:ascii="Arial" w:hAnsi="Arial"/>
          <w:b/>
          <w:sz w:val="32"/>
          <w:szCs w:val="32"/>
        </w:rPr>
        <w:t>un</w:t>
      </w:r>
      <w:r w:rsidR="002014EF">
        <w:rPr>
          <w:rFonts w:ascii="Arial" w:hAnsi="Arial"/>
          <w:b/>
          <w:sz w:val="32"/>
          <w:szCs w:val="32"/>
        </w:rPr>
        <w:t xml:space="preserve">e </w:t>
      </w:r>
      <w:r w:rsidR="00BE0AEF">
        <w:rPr>
          <w:rFonts w:ascii="Arial" w:hAnsi="Arial"/>
          <w:b/>
          <w:sz w:val="32"/>
          <w:szCs w:val="32"/>
        </w:rPr>
        <w:t xml:space="preserve">lettre d’intention </w:t>
      </w:r>
      <w:r>
        <w:rPr>
          <w:rFonts w:ascii="Arial" w:hAnsi="Arial"/>
          <w:b/>
          <w:sz w:val="32"/>
          <w:szCs w:val="32"/>
        </w:rPr>
        <w:t>pour l’approvisionnement en terres rares</w:t>
      </w:r>
    </w:p>
    <w:bookmarkEnd w:id="0"/>
    <w:p w14:paraId="400BFDBB" w14:textId="77777777" w:rsidR="00F0010C" w:rsidRDefault="00F0010C" w:rsidP="00F0010C">
      <w:pPr>
        <w:pStyle w:val="Corpsdetexte"/>
        <w:spacing w:before="0" w:after="0" w:line="240" w:lineRule="auto"/>
        <w:ind w:right="144"/>
        <w:jc w:val="center"/>
        <w:rPr>
          <w:rStyle w:val="lev"/>
          <w:rFonts w:ascii="Franklin Gothic Book" w:hAnsi="Franklin Gothic Book"/>
          <w:kern w:val="36"/>
          <w:sz w:val="22"/>
          <w:szCs w:val="22"/>
        </w:rPr>
      </w:pPr>
    </w:p>
    <w:p w14:paraId="6C3E5EE7" w14:textId="77777777" w:rsidR="00F0010C" w:rsidRDefault="00F0010C" w:rsidP="00F0010C">
      <w:pPr>
        <w:pStyle w:val="Corpsdetexte"/>
        <w:spacing w:before="0" w:after="0" w:line="240" w:lineRule="auto"/>
        <w:ind w:right="144"/>
        <w:jc w:val="center"/>
        <w:rPr>
          <w:rStyle w:val="lev"/>
          <w:rFonts w:ascii="Franklin Gothic Book" w:hAnsi="Franklin Gothic Book"/>
          <w:kern w:val="36"/>
          <w:sz w:val="22"/>
          <w:szCs w:val="22"/>
        </w:rPr>
      </w:pPr>
    </w:p>
    <w:p w14:paraId="52ABC421" w14:textId="4163987C" w:rsidR="00443263" w:rsidRPr="00F0010C" w:rsidRDefault="00443263" w:rsidP="00B57BF5">
      <w:pPr>
        <w:pStyle w:val="Corpsdetexte"/>
        <w:spacing w:before="0" w:after="0" w:line="240" w:lineRule="auto"/>
        <w:ind w:left="360" w:right="144"/>
        <w:jc w:val="center"/>
        <w:rPr>
          <w:rStyle w:val="lev"/>
          <w:rFonts w:ascii="Arial" w:hAnsi="Arial" w:cs="Arial"/>
          <w:b w:val="0"/>
          <w:bCs w:val="0"/>
          <w:i/>
          <w:iCs/>
          <w:kern w:val="36"/>
          <w:sz w:val="24"/>
        </w:rPr>
      </w:pPr>
      <w:r>
        <w:rPr>
          <w:rStyle w:val="lev"/>
          <w:rFonts w:ascii="Arial" w:hAnsi="Arial"/>
          <w:b w:val="0"/>
          <w:bCs w:val="0"/>
          <w:i/>
          <w:iCs/>
          <w:sz w:val="24"/>
        </w:rPr>
        <w:t>La lettre d’intention prévoit également la possibilité d’un investissement stratégique de Stellantis dans le projet de minéraux critiques de NioCorp baptisé Elk Creek</w:t>
      </w:r>
    </w:p>
    <w:p w14:paraId="062118A5" w14:textId="77777777" w:rsidR="00B63CAC" w:rsidRDefault="00B63CAC" w:rsidP="00B63CAC">
      <w:pPr>
        <w:pStyle w:val="Corpsdetexte"/>
        <w:spacing w:before="0" w:after="0" w:line="240" w:lineRule="auto"/>
        <w:ind w:right="144"/>
        <w:rPr>
          <w:rStyle w:val="lev"/>
          <w:rFonts w:ascii="Franklin Gothic Book" w:hAnsi="Franklin Gothic Book" w:cs="Arial"/>
          <w:b w:val="0"/>
          <w:bCs w:val="0"/>
          <w:kern w:val="36"/>
          <w:sz w:val="22"/>
          <w:szCs w:val="22"/>
        </w:rPr>
      </w:pPr>
    </w:p>
    <w:p w14:paraId="34ABC7FA" w14:textId="77777777" w:rsidR="00F0010C" w:rsidRPr="00F0010C" w:rsidRDefault="00F0010C" w:rsidP="00B63CAC">
      <w:pPr>
        <w:pStyle w:val="Corpsdetexte"/>
        <w:spacing w:before="0" w:after="0" w:line="240" w:lineRule="auto"/>
        <w:ind w:right="144"/>
        <w:rPr>
          <w:rStyle w:val="lev"/>
          <w:rFonts w:ascii="Franklin Gothic Book" w:hAnsi="Franklin Gothic Book" w:cs="Arial"/>
          <w:b w:val="0"/>
          <w:bCs w:val="0"/>
          <w:kern w:val="36"/>
          <w:sz w:val="22"/>
          <w:szCs w:val="22"/>
        </w:rPr>
      </w:pPr>
    </w:p>
    <w:p w14:paraId="39697ED8" w14:textId="3C2ADD61" w:rsidR="009D6401" w:rsidRDefault="00F51D6C" w:rsidP="005B2699">
      <w:pPr>
        <w:pStyle w:val="Corpsdetexte"/>
        <w:spacing w:before="0" w:after="0" w:line="240" w:lineRule="auto"/>
        <w:ind w:right="144"/>
        <w:jc w:val="both"/>
        <w:rPr>
          <w:rFonts w:ascii="Franklin Gothic Book" w:hAnsi="Franklin Gothic Book"/>
          <w:sz w:val="22"/>
          <w:szCs w:val="22"/>
        </w:rPr>
      </w:pPr>
      <w:r>
        <w:rPr>
          <w:rStyle w:val="lev"/>
          <w:rFonts w:ascii="Franklin Gothic Book" w:hAnsi="Franklin Gothic Book"/>
          <w:b w:val="0"/>
          <w:bCs w:val="0"/>
          <w:sz w:val="22"/>
          <w:szCs w:val="22"/>
        </w:rPr>
        <w:t xml:space="preserve">AMSTERDAM et CENTENNIAL, Colorado – le </w:t>
      </w:r>
      <w:r w:rsidR="005B2699">
        <w:rPr>
          <w:rStyle w:val="lev"/>
          <w:rFonts w:ascii="Franklin Gothic Book" w:hAnsi="Franklin Gothic Book"/>
          <w:b w:val="0"/>
          <w:bCs w:val="0"/>
          <w:sz w:val="22"/>
          <w:szCs w:val="22"/>
        </w:rPr>
        <w:t>6 juillet</w:t>
      </w:r>
      <w:r>
        <w:rPr>
          <w:rStyle w:val="lev"/>
          <w:rFonts w:ascii="Franklin Gothic Book" w:hAnsi="Franklin Gothic Book"/>
          <w:b w:val="0"/>
          <w:bCs w:val="0"/>
          <w:sz w:val="22"/>
          <w:szCs w:val="22"/>
        </w:rPr>
        <w:t> 2023 –</w:t>
      </w:r>
      <w:hyperlink r:id="rId7" w:history="1">
        <w:r>
          <w:rPr>
            <w:rStyle w:val="Lienhypertexte"/>
            <w:rFonts w:ascii="Franklin Gothic Book" w:hAnsi="Franklin Gothic Book"/>
            <w:sz w:val="22"/>
            <w:szCs w:val="22"/>
          </w:rPr>
          <w:t>Stellantis N.V.</w:t>
        </w:r>
      </w:hyperlink>
      <w:r>
        <w:rPr>
          <w:rFonts w:ascii="Franklin Gothic Book" w:hAnsi="Franklin Gothic Book"/>
          <w:sz w:val="22"/>
          <w:szCs w:val="22"/>
        </w:rPr>
        <w:t xml:space="preserve"> (« Stellantis ») et NioCorp Developments Ltd. (« </w:t>
      </w:r>
      <w:r>
        <w:rPr>
          <w:rStyle w:val="lev"/>
          <w:rFonts w:ascii="Franklin Gothic Book" w:hAnsi="Franklin Gothic Book"/>
          <w:b w:val="0"/>
          <w:bCs w:val="0"/>
          <w:sz w:val="22"/>
          <w:szCs w:val="22"/>
        </w:rPr>
        <w:t>NioCorp</w:t>
      </w:r>
      <w:r>
        <w:rPr>
          <w:rFonts w:ascii="Franklin Gothic Book" w:hAnsi="Franklin Gothic Book"/>
          <w:sz w:val="22"/>
          <w:szCs w:val="22"/>
        </w:rPr>
        <w:t> » ou la « </w:t>
      </w:r>
      <w:r>
        <w:rPr>
          <w:rStyle w:val="lev"/>
          <w:rFonts w:ascii="Franklin Gothic Book" w:hAnsi="Franklin Gothic Book"/>
          <w:b w:val="0"/>
          <w:bCs w:val="0"/>
          <w:sz w:val="22"/>
          <w:szCs w:val="22"/>
        </w:rPr>
        <w:t>Société</w:t>
      </w:r>
      <w:r>
        <w:rPr>
          <w:rFonts w:ascii="Franklin Gothic Book" w:hAnsi="Franklin Gothic Book"/>
          <w:sz w:val="22"/>
          <w:szCs w:val="22"/>
        </w:rPr>
        <w:t> »)</w:t>
      </w:r>
      <w:r>
        <w:rPr>
          <w:rStyle w:val="apple-converted-space"/>
          <w:rFonts w:ascii="Franklin Gothic Book" w:hAnsi="Franklin Gothic Book"/>
          <w:sz w:val="22"/>
          <w:szCs w:val="22"/>
        </w:rPr>
        <w:t xml:space="preserve"> </w:t>
      </w:r>
      <w:r>
        <w:rPr>
          <w:rStyle w:val="lev"/>
          <w:rFonts w:ascii="Franklin Gothic Book" w:hAnsi="Franklin Gothic Book"/>
          <w:b w:val="0"/>
          <w:bCs w:val="0"/>
          <w:sz w:val="22"/>
          <w:szCs w:val="22"/>
        </w:rPr>
        <w:t xml:space="preserve">(Nasdaq : NB) (TSX : NB) </w:t>
      </w:r>
      <w:r w:rsidR="008A2B5B">
        <w:rPr>
          <w:rFonts w:ascii="Franklin Gothic Book" w:hAnsi="Franklin Gothic Book"/>
          <w:sz w:val="22"/>
          <w:szCs w:val="22"/>
        </w:rPr>
        <w:t xml:space="preserve">ont signé aujourd’hui </w:t>
      </w:r>
      <w:r>
        <w:rPr>
          <w:rFonts w:ascii="Franklin Gothic Book" w:hAnsi="Franklin Gothic Book"/>
          <w:sz w:val="22"/>
          <w:szCs w:val="22"/>
        </w:rPr>
        <w:t xml:space="preserve">une lettre d’intention pour l’approvisionnement en terres rares (« Lettre d’intention »). L’objectif est de conclure un accord définitif </w:t>
      </w:r>
      <w:r w:rsidR="002014EF">
        <w:rPr>
          <w:rFonts w:ascii="Franklin Gothic Book" w:hAnsi="Franklin Gothic Book"/>
          <w:sz w:val="22"/>
          <w:szCs w:val="22"/>
        </w:rPr>
        <w:t xml:space="preserve">pour </w:t>
      </w:r>
      <w:r>
        <w:rPr>
          <w:rFonts w:ascii="Franklin Gothic Book" w:hAnsi="Franklin Gothic Book"/>
          <w:sz w:val="22"/>
          <w:szCs w:val="22"/>
        </w:rPr>
        <w:t xml:space="preserve">soutenir l’engagement de Stellantis </w:t>
      </w:r>
      <w:r w:rsidR="00146847">
        <w:rPr>
          <w:rFonts w:ascii="Franklin Gothic Book" w:hAnsi="Franklin Gothic Book"/>
          <w:sz w:val="22"/>
          <w:szCs w:val="22"/>
        </w:rPr>
        <w:t xml:space="preserve">à disposer </w:t>
      </w:r>
      <w:r>
        <w:rPr>
          <w:rFonts w:ascii="Franklin Gothic Book" w:hAnsi="Franklin Gothic Book"/>
          <w:sz w:val="22"/>
          <w:szCs w:val="22"/>
        </w:rPr>
        <w:t xml:space="preserve">de chaînes d’approvisionnement résilientes et d’atteindre la </w:t>
      </w:r>
      <w:hyperlink r:id="rId8" w:history="1">
        <w:r>
          <w:rPr>
            <w:rStyle w:val="Lienhypertexte"/>
            <w:rFonts w:ascii="Franklin Gothic Book" w:hAnsi="Franklin Gothic Book"/>
            <w:sz w:val="22"/>
            <w:szCs w:val="22"/>
          </w:rPr>
          <w:t>neutralité carbone à l’horizon 2038</w:t>
        </w:r>
      </w:hyperlink>
      <w:r>
        <w:rPr>
          <w:rFonts w:ascii="Franklin Gothic Book" w:hAnsi="Franklin Gothic Book"/>
          <w:sz w:val="22"/>
          <w:szCs w:val="22"/>
        </w:rPr>
        <w:t>, tout en permettant à NioCorp d’accélérer la production commerciale des oxydes de terres rares magnétiques aux États-Unis.</w:t>
      </w:r>
    </w:p>
    <w:p w14:paraId="04CFEFE2" w14:textId="3A053DA0" w:rsidR="00B63CAC" w:rsidRPr="00F0010C" w:rsidRDefault="00B63CAC" w:rsidP="00F0010C">
      <w:pPr>
        <w:pStyle w:val="Corpsdetexte"/>
        <w:spacing w:before="0" w:after="0" w:line="240" w:lineRule="auto"/>
        <w:ind w:right="144"/>
        <w:rPr>
          <w:rFonts w:ascii="Franklin Gothic Book" w:hAnsi="Franklin Gothic Book" w:cs="Arial"/>
          <w:kern w:val="36"/>
          <w:sz w:val="22"/>
          <w:szCs w:val="22"/>
        </w:rPr>
      </w:pPr>
    </w:p>
    <w:p w14:paraId="14F5CB6F" w14:textId="35F5A2DD" w:rsidR="00402905" w:rsidRDefault="00402905" w:rsidP="007A48BE">
      <w:pPr>
        <w:pStyle w:val="Corpsdetexte"/>
        <w:spacing w:before="0" w:after="0" w:line="240" w:lineRule="auto"/>
        <w:ind w:right="144"/>
        <w:jc w:val="both"/>
        <w:rPr>
          <w:rFonts w:ascii="Franklin Gothic Book" w:hAnsi="Franklin Gothic Book" w:cs="Arial"/>
          <w:kern w:val="36"/>
          <w:sz w:val="22"/>
          <w:szCs w:val="22"/>
        </w:rPr>
      </w:pPr>
      <w:r>
        <w:rPr>
          <w:rFonts w:ascii="Franklin Gothic Book" w:hAnsi="Franklin Gothic Book"/>
          <w:sz w:val="22"/>
          <w:szCs w:val="22"/>
        </w:rPr>
        <w:t>La lettre d’intention finalisée aujourd’hui prévoit la signature d</w:t>
      </w:r>
      <w:r w:rsidR="00146847">
        <w:rPr>
          <w:rFonts w:ascii="Franklin Gothic Book" w:hAnsi="Franklin Gothic Book"/>
          <w:sz w:val="22"/>
          <w:szCs w:val="22"/>
        </w:rPr>
        <w:t>’</w:t>
      </w:r>
      <w:r>
        <w:rPr>
          <w:rFonts w:ascii="Franklin Gothic Book" w:hAnsi="Franklin Gothic Book"/>
          <w:sz w:val="22"/>
          <w:szCs w:val="22"/>
        </w:rPr>
        <w:t xml:space="preserve">un accord définitif pour l’approvisionnement sur une durée de 10 ans de quantités spécifiques d’oxyde de praséodyme-néodyme, d’oxyde de dysprosium et d’oxyde de </w:t>
      </w:r>
      <w:r w:rsidRPr="00180EB7">
        <w:rPr>
          <w:rFonts w:ascii="Franklin Gothic Book" w:hAnsi="Franklin Gothic Book"/>
          <w:sz w:val="22"/>
          <w:szCs w:val="22"/>
        </w:rPr>
        <w:t>terbium</w:t>
      </w:r>
      <w:r w:rsidR="00F46F28" w:rsidRPr="00180EB7">
        <w:rPr>
          <w:rFonts w:ascii="Franklin Gothic Book" w:hAnsi="Franklin Gothic Book"/>
          <w:sz w:val="22"/>
          <w:szCs w:val="22"/>
        </w:rPr>
        <w:t xml:space="preserve">. </w:t>
      </w:r>
      <w:r w:rsidRPr="00180EB7">
        <w:rPr>
          <w:rFonts w:ascii="Franklin Gothic Book" w:hAnsi="Franklin Gothic Book"/>
          <w:sz w:val="22"/>
          <w:szCs w:val="22"/>
        </w:rPr>
        <w:t xml:space="preserve">NioCorp </w:t>
      </w:r>
      <w:r w:rsidR="00F46F28" w:rsidRPr="00180EB7">
        <w:rPr>
          <w:rFonts w:ascii="Franklin Gothic Book" w:hAnsi="Franklin Gothic Book"/>
          <w:sz w:val="22"/>
          <w:szCs w:val="22"/>
        </w:rPr>
        <w:t>envisage de</w:t>
      </w:r>
      <w:r w:rsidRPr="00180EB7">
        <w:rPr>
          <w:rFonts w:ascii="Franklin Gothic Book" w:hAnsi="Franklin Gothic Book"/>
          <w:sz w:val="22"/>
          <w:szCs w:val="22"/>
        </w:rPr>
        <w:t xml:space="preserve"> produire </w:t>
      </w:r>
      <w:r w:rsidR="00F46F28" w:rsidRPr="00180EB7">
        <w:rPr>
          <w:rFonts w:ascii="Franklin Gothic Book" w:hAnsi="Franklin Gothic Book"/>
          <w:sz w:val="22"/>
          <w:szCs w:val="22"/>
        </w:rPr>
        <w:t xml:space="preserve">ces </w:t>
      </w:r>
      <w:r w:rsidR="00437B70">
        <w:rPr>
          <w:rFonts w:ascii="Franklin Gothic Book" w:hAnsi="Franklin Gothic Book"/>
          <w:sz w:val="22"/>
          <w:szCs w:val="22"/>
        </w:rPr>
        <w:t>oxyde</w:t>
      </w:r>
      <w:r w:rsidR="00437B70" w:rsidRPr="00180EB7">
        <w:rPr>
          <w:rFonts w:ascii="Franklin Gothic Book" w:hAnsi="Franklin Gothic Book"/>
          <w:sz w:val="22"/>
          <w:szCs w:val="22"/>
        </w:rPr>
        <w:t xml:space="preserve">s </w:t>
      </w:r>
      <w:r w:rsidRPr="00180EB7">
        <w:rPr>
          <w:rFonts w:ascii="Franklin Gothic Book" w:hAnsi="Franklin Gothic Book"/>
          <w:sz w:val="22"/>
          <w:szCs w:val="22"/>
        </w:rPr>
        <w:t>via son projet de minéraux critiques d</w:t>
      </w:r>
      <w:r w:rsidR="00146847" w:rsidRPr="00180EB7">
        <w:rPr>
          <w:rFonts w:ascii="Franklin Gothic Book" w:hAnsi="Franklin Gothic Book"/>
          <w:sz w:val="22"/>
          <w:szCs w:val="22"/>
        </w:rPr>
        <w:t>’</w:t>
      </w:r>
      <w:r w:rsidRPr="00180EB7">
        <w:rPr>
          <w:rFonts w:ascii="Franklin Gothic Book" w:hAnsi="Franklin Gothic Book"/>
          <w:sz w:val="22"/>
          <w:szCs w:val="22"/>
        </w:rPr>
        <w:t>Elk Creek (le « Projet Elk Creek ») dans</w:t>
      </w:r>
      <w:r>
        <w:rPr>
          <w:rFonts w:ascii="Franklin Gothic Book" w:hAnsi="Franklin Gothic Book"/>
          <w:sz w:val="22"/>
          <w:szCs w:val="22"/>
        </w:rPr>
        <w:t xml:space="preserve"> le sud-est du Nebraska</w:t>
      </w:r>
      <w:r w:rsidR="00146847">
        <w:rPr>
          <w:rFonts w:ascii="Franklin Gothic Book" w:hAnsi="Franklin Gothic Book"/>
          <w:sz w:val="22"/>
          <w:szCs w:val="22"/>
        </w:rPr>
        <w:t> </w:t>
      </w:r>
      <w:r w:rsidR="002014EF">
        <w:rPr>
          <w:rFonts w:ascii="Franklin Gothic Book" w:hAnsi="Franklin Gothic Book"/>
          <w:sz w:val="22"/>
          <w:szCs w:val="22"/>
        </w:rPr>
        <w:t>; ce</w:t>
      </w:r>
      <w:r w:rsidR="005B2699">
        <w:rPr>
          <w:rFonts w:ascii="Franklin Gothic Book" w:hAnsi="Franklin Gothic Book"/>
          <w:sz w:val="22"/>
          <w:szCs w:val="22"/>
        </w:rPr>
        <w:t xml:space="preserve"> </w:t>
      </w:r>
      <w:r>
        <w:rPr>
          <w:rFonts w:ascii="Franklin Gothic Book" w:hAnsi="Franklin Gothic Book"/>
          <w:sz w:val="22"/>
          <w:szCs w:val="22"/>
        </w:rPr>
        <w:t xml:space="preserve">projet </w:t>
      </w:r>
      <w:r w:rsidR="002014EF">
        <w:rPr>
          <w:rFonts w:ascii="Franklin Gothic Book" w:hAnsi="Franklin Gothic Book"/>
          <w:sz w:val="22"/>
          <w:szCs w:val="22"/>
        </w:rPr>
        <w:t xml:space="preserve">est </w:t>
      </w:r>
      <w:r>
        <w:rPr>
          <w:rFonts w:ascii="Franklin Gothic Book" w:hAnsi="Franklin Gothic Book"/>
          <w:color w:val="000000"/>
          <w:sz w:val="22"/>
          <w:szCs w:val="22"/>
        </w:rPr>
        <w:t>soumis à l’obtention d’un financement suffisant</w:t>
      </w:r>
      <w:r>
        <w:rPr>
          <w:rFonts w:ascii="Franklin Gothic Book" w:hAnsi="Franklin Gothic Book"/>
          <w:sz w:val="22"/>
          <w:szCs w:val="22"/>
        </w:rPr>
        <w:t>. Les quantités finales seront définies dans l’accord définitif envisagé.</w:t>
      </w:r>
    </w:p>
    <w:p w14:paraId="65BA78A0" w14:textId="77777777" w:rsidR="002B0471" w:rsidRPr="00F0010C" w:rsidRDefault="002B0471" w:rsidP="00B63CAC">
      <w:pPr>
        <w:pStyle w:val="Corpsdetexte"/>
        <w:spacing w:before="0" w:after="0" w:line="240" w:lineRule="auto"/>
        <w:ind w:right="144"/>
        <w:rPr>
          <w:rFonts w:ascii="Franklin Gothic Book" w:hAnsi="Franklin Gothic Book" w:cs="Arial"/>
          <w:kern w:val="36"/>
          <w:sz w:val="22"/>
          <w:szCs w:val="22"/>
        </w:rPr>
      </w:pPr>
    </w:p>
    <w:p w14:paraId="540EC842" w14:textId="76644B78" w:rsidR="00F60E9E" w:rsidRPr="00F0010C" w:rsidRDefault="00F60E9E" w:rsidP="007A48BE">
      <w:pPr>
        <w:pStyle w:val="Corpsdetexte"/>
        <w:spacing w:before="0" w:after="0" w:line="240" w:lineRule="auto"/>
        <w:ind w:right="144"/>
        <w:jc w:val="both"/>
        <w:rPr>
          <w:rFonts w:ascii="Franklin Gothic Book" w:hAnsi="Franklin Gothic Book" w:cs="Arial"/>
          <w:kern w:val="36"/>
          <w:sz w:val="22"/>
          <w:szCs w:val="22"/>
        </w:rPr>
      </w:pPr>
      <w:r>
        <w:rPr>
          <w:rFonts w:ascii="Franklin Gothic Book" w:hAnsi="Franklin Gothic Book"/>
          <w:sz w:val="22"/>
          <w:szCs w:val="22"/>
        </w:rPr>
        <w:t xml:space="preserve">« Stellantis </w:t>
      </w:r>
      <w:r w:rsidR="005B2699">
        <w:rPr>
          <w:rFonts w:ascii="Franklin Gothic Book" w:hAnsi="Franklin Gothic Book"/>
          <w:sz w:val="22"/>
          <w:szCs w:val="22"/>
        </w:rPr>
        <w:t>s’</w:t>
      </w:r>
      <w:r w:rsidR="008A2B5B">
        <w:rPr>
          <w:rFonts w:ascii="Franklin Gothic Book" w:hAnsi="Franklin Gothic Book"/>
          <w:sz w:val="22"/>
          <w:szCs w:val="22"/>
        </w:rPr>
        <w:t xml:space="preserve">est </w:t>
      </w:r>
      <w:r w:rsidR="005B2699">
        <w:rPr>
          <w:rFonts w:ascii="Franklin Gothic Book" w:hAnsi="Franklin Gothic Book"/>
          <w:sz w:val="22"/>
          <w:szCs w:val="22"/>
        </w:rPr>
        <w:t>engag</w:t>
      </w:r>
      <w:r w:rsidR="008A2B5B">
        <w:rPr>
          <w:rFonts w:ascii="Franklin Gothic Book" w:hAnsi="Franklin Gothic Book"/>
          <w:sz w:val="22"/>
          <w:szCs w:val="22"/>
        </w:rPr>
        <w:t>é</w:t>
      </w:r>
      <w:r w:rsidR="00437B70">
        <w:rPr>
          <w:rFonts w:ascii="Franklin Gothic Book" w:hAnsi="Franklin Gothic Book"/>
          <w:sz w:val="22"/>
          <w:szCs w:val="22"/>
        </w:rPr>
        <w:t>e</w:t>
      </w:r>
      <w:r w:rsidR="005B2699">
        <w:rPr>
          <w:rFonts w:ascii="Franklin Gothic Book" w:hAnsi="Franklin Gothic Book"/>
          <w:sz w:val="22"/>
          <w:szCs w:val="22"/>
        </w:rPr>
        <w:t xml:space="preserve"> à </w:t>
      </w:r>
      <w:r>
        <w:rPr>
          <w:rFonts w:ascii="Franklin Gothic Book" w:hAnsi="Franklin Gothic Book"/>
          <w:sz w:val="22"/>
          <w:szCs w:val="22"/>
        </w:rPr>
        <w:t xml:space="preserve">devenir le champion </w:t>
      </w:r>
      <w:r w:rsidR="005B2699">
        <w:rPr>
          <w:rFonts w:ascii="Franklin Gothic Book" w:hAnsi="Franklin Gothic Book"/>
          <w:sz w:val="22"/>
          <w:szCs w:val="22"/>
        </w:rPr>
        <w:t xml:space="preserve">de l’industrie </w:t>
      </w:r>
      <w:r>
        <w:rPr>
          <w:rFonts w:ascii="Franklin Gothic Book" w:hAnsi="Franklin Gothic Book"/>
          <w:sz w:val="22"/>
          <w:szCs w:val="22"/>
        </w:rPr>
        <w:t xml:space="preserve">en atteignant </w:t>
      </w:r>
      <w:r w:rsidR="008A2B5B">
        <w:rPr>
          <w:rFonts w:ascii="Franklin Gothic Book" w:hAnsi="Franklin Gothic Book"/>
          <w:sz w:val="22"/>
          <w:szCs w:val="22"/>
        </w:rPr>
        <w:t xml:space="preserve">la </w:t>
      </w:r>
      <w:r w:rsidR="005B2699">
        <w:rPr>
          <w:rFonts w:ascii="Franklin Gothic Book" w:hAnsi="Franklin Gothic Book"/>
          <w:sz w:val="22"/>
          <w:szCs w:val="22"/>
        </w:rPr>
        <w:t xml:space="preserve">neutralité </w:t>
      </w:r>
      <w:r>
        <w:rPr>
          <w:rFonts w:ascii="Franklin Gothic Book" w:hAnsi="Franklin Gothic Book"/>
          <w:sz w:val="22"/>
          <w:szCs w:val="22"/>
        </w:rPr>
        <w:t xml:space="preserve">carbone à l’horizon 2038, un objectif qui nécessite d’innover et de redéfinir entièrement nos activités », a déclaré </w:t>
      </w:r>
      <w:r w:rsidR="00EE4C73" w:rsidRPr="000D78F2">
        <w:rPr>
          <w:rFonts w:ascii="Franklin Gothic Book" w:hAnsi="Franklin Gothic Book" w:cs="Arial"/>
          <w:kern w:val="36"/>
          <w:sz w:val="22"/>
          <w:szCs w:val="22"/>
        </w:rPr>
        <w:t>Maxime Pica</w:t>
      </w:r>
      <w:r w:rsidR="005B2699">
        <w:rPr>
          <w:rFonts w:ascii="Franklin Gothic Book" w:hAnsi="Franklin Gothic Book" w:cs="Arial"/>
          <w:kern w:val="36"/>
          <w:sz w:val="22"/>
          <w:szCs w:val="22"/>
        </w:rPr>
        <w:t xml:space="preserve">t </w:t>
      </w:r>
      <w:r w:rsidR="00BE0AEF" w:rsidRPr="000D78F2">
        <w:rPr>
          <w:rFonts w:ascii="Franklin Gothic Book" w:hAnsi="Franklin Gothic Book" w:cs="Arial"/>
          <w:kern w:val="36"/>
          <w:sz w:val="22"/>
          <w:szCs w:val="22"/>
        </w:rPr>
        <w:t>Chief Purchasing and Supply Chain Office</w:t>
      </w:r>
      <w:r w:rsidR="005B2699">
        <w:rPr>
          <w:rFonts w:ascii="Franklin Gothic Book" w:hAnsi="Franklin Gothic Book" w:cs="Arial"/>
          <w:kern w:val="36"/>
          <w:sz w:val="22"/>
          <w:szCs w:val="22"/>
        </w:rPr>
        <w:t xml:space="preserve">r de </w:t>
      </w:r>
      <w:r w:rsidR="005B2699" w:rsidRPr="00953CB2">
        <w:rPr>
          <w:rFonts w:ascii="Franklin Gothic Book" w:hAnsi="Franklin Gothic Book" w:cs="Arial"/>
          <w:kern w:val="36"/>
          <w:sz w:val="22"/>
          <w:szCs w:val="22"/>
        </w:rPr>
        <w:t>Stellanti</w:t>
      </w:r>
      <w:r w:rsidR="00146847">
        <w:rPr>
          <w:rFonts w:ascii="Franklin Gothic Book" w:hAnsi="Franklin Gothic Book" w:cs="Arial"/>
          <w:kern w:val="36"/>
          <w:sz w:val="22"/>
          <w:szCs w:val="22"/>
        </w:rPr>
        <w:t>s</w:t>
      </w:r>
      <w:r w:rsidRPr="007A48BE">
        <w:rPr>
          <w:rFonts w:ascii="Franklin Gothic Book" w:hAnsi="Franklin Gothic Book" w:cs="Arial"/>
          <w:kern w:val="36"/>
          <w:sz w:val="22"/>
          <w:szCs w:val="22"/>
        </w:rPr>
        <w:t>. « </w:t>
      </w:r>
      <w:r w:rsidR="00BE0AEF" w:rsidRPr="007A48BE">
        <w:rPr>
          <w:rFonts w:ascii="Franklin Gothic Book" w:hAnsi="Franklin Gothic Book" w:cs="Arial"/>
          <w:kern w:val="36"/>
          <w:sz w:val="22"/>
          <w:szCs w:val="22"/>
        </w:rPr>
        <w:t xml:space="preserve">En travaillant avec des partenaires comme NioCorp, nous franchissons une nouvelle étape </w:t>
      </w:r>
      <w:r w:rsidR="008A2B5B">
        <w:rPr>
          <w:rFonts w:ascii="Franklin Gothic Book" w:hAnsi="Franklin Gothic Book" w:cs="Arial"/>
          <w:kern w:val="36"/>
          <w:sz w:val="22"/>
          <w:szCs w:val="22"/>
        </w:rPr>
        <w:t>en vue de</w:t>
      </w:r>
      <w:r w:rsidR="00AB4094">
        <w:rPr>
          <w:rFonts w:ascii="Franklin Gothic Book" w:hAnsi="Franklin Gothic Book" w:cs="Arial"/>
          <w:kern w:val="36"/>
          <w:sz w:val="22"/>
          <w:szCs w:val="22"/>
        </w:rPr>
        <w:t xml:space="preserve"> </w:t>
      </w:r>
      <w:r w:rsidR="004669F8" w:rsidRPr="007A48BE">
        <w:rPr>
          <w:rFonts w:ascii="Franklin Gothic Book" w:hAnsi="Franklin Gothic Book" w:cs="Arial"/>
          <w:kern w:val="36"/>
          <w:sz w:val="22"/>
          <w:szCs w:val="22"/>
        </w:rPr>
        <w:t>décarbon</w:t>
      </w:r>
      <w:r w:rsidR="00AB4094">
        <w:rPr>
          <w:rFonts w:ascii="Franklin Gothic Book" w:hAnsi="Franklin Gothic Book" w:cs="Arial"/>
          <w:kern w:val="36"/>
          <w:sz w:val="22"/>
          <w:szCs w:val="22"/>
        </w:rPr>
        <w:t xml:space="preserve">er </w:t>
      </w:r>
      <w:r w:rsidR="00BE0AEF" w:rsidRPr="007A48BE">
        <w:rPr>
          <w:rFonts w:ascii="Franklin Gothic Book" w:hAnsi="Franklin Gothic Book" w:cs="Arial"/>
          <w:kern w:val="36"/>
          <w:sz w:val="22"/>
          <w:szCs w:val="22"/>
        </w:rPr>
        <w:t>la mobilité</w:t>
      </w:r>
      <w:r w:rsidRPr="007A48BE">
        <w:rPr>
          <w:rFonts w:ascii="Franklin Gothic Book" w:hAnsi="Franklin Gothic Book" w:cs="Arial"/>
          <w:kern w:val="36"/>
          <w:sz w:val="22"/>
          <w:szCs w:val="22"/>
        </w:rPr>
        <w:t> </w:t>
      </w:r>
      <w:r w:rsidR="00AB4094">
        <w:rPr>
          <w:rFonts w:ascii="Franklin Gothic Book" w:hAnsi="Franklin Gothic Book" w:cs="Arial"/>
          <w:kern w:val="36"/>
          <w:sz w:val="22"/>
          <w:szCs w:val="22"/>
        </w:rPr>
        <w:t>et garantir</w:t>
      </w:r>
      <w:r w:rsidR="00BE0AEF" w:rsidRPr="007A48BE">
        <w:rPr>
          <w:rFonts w:ascii="Franklin Gothic Book" w:hAnsi="Franklin Gothic Book" w:cs="Arial"/>
          <w:kern w:val="36"/>
          <w:sz w:val="22"/>
          <w:szCs w:val="22"/>
        </w:rPr>
        <w:t xml:space="preserve"> l’approvisionnement stratégique en matières premières, nécessaire </w:t>
      </w:r>
      <w:r w:rsidR="008A2B5B">
        <w:rPr>
          <w:rFonts w:ascii="Franklin Gothic Book" w:hAnsi="Franklin Gothic Book" w:cs="Arial"/>
          <w:kern w:val="36"/>
          <w:sz w:val="22"/>
          <w:szCs w:val="22"/>
        </w:rPr>
        <w:t>pour atteindre nos</w:t>
      </w:r>
      <w:r w:rsidR="004669F8" w:rsidRPr="007A48BE">
        <w:rPr>
          <w:rFonts w:ascii="Franklin Gothic Book" w:hAnsi="Franklin Gothic Book" w:cs="Arial"/>
          <w:kern w:val="36"/>
          <w:sz w:val="22"/>
          <w:szCs w:val="22"/>
        </w:rPr>
        <w:t xml:space="preserve"> objectifs d’</w:t>
      </w:r>
      <w:r w:rsidR="00AB4094" w:rsidRPr="00AB4094">
        <w:rPr>
          <w:rFonts w:ascii="Franklin Gothic Book" w:hAnsi="Franklin Gothic Book" w:cs="Arial"/>
          <w:kern w:val="36"/>
          <w:sz w:val="22"/>
          <w:szCs w:val="22"/>
        </w:rPr>
        <w:t>électrification</w:t>
      </w:r>
      <w:r w:rsidR="00AB4094">
        <w:rPr>
          <w:rFonts w:ascii="Franklin Gothic Book" w:hAnsi="Franklin Gothic Book" w:cs="Arial"/>
          <w:kern w:val="36"/>
          <w:sz w:val="22"/>
          <w:szCs w:val="22"/>
        </w:rPr>
        <w:t>,</w:t>
      </w:r>
      <w:r w:rsidR="00146847">
        <w:rPr>
          <w:rFonts w:ascii="Franklin Gothic Book" w:hAnsi="Franklin Gothic Book" w:cs="Arial"/>
          <w:kern w:val="36"/>
          <w:sz w:val="22"/>
          <w:szCs w:val="22"/>
        </w:rPr>
        <w:t xml:space="preserve"> </w:t>
      </w:r>
      <w:r w:rsidR="00AB4094">
        <w:rPr>
          <w:rFonts w:ascii="Franklin Gothic Book" w:hAnsi="Franklin Gothic Book" w:cs="Arial"/>
          <w:kern w:val="36"/>
          <w:sz w:val="22"/>
          <w:szCs w:val="22"/>
        </w:rPr>
        <w:t>décri</w:t>
      </w:r>
      <w:r w:rsidR="008A2B5B">
        <w:rPr>
          <w:rFonts w:ascii="Franklin Gothic Book" w:hAnsi="Franklin Gothic Book" w:cs="Arial"/>
          <w:kern w:val="36"/>
          <w:sz w:val="22"/>
          <w:szCs w:val="22"/>
        </w:rPr>
        <w:t>t</w:t>
      </w:r>
      <w:r w:rsidR="00437B70">
        <w:rPr>
          <w:rFonts w:ascii="Franklin Gothic Book" w:hAnsi="Franklin Gothic Book" w:cs="Arial"/>
          <w:kern w:val="36"/>
          <w:sz w:val="22"/>
          <w:szCs w:val="22"/>
        </w:rPr>
        <w:t>s</w:t>
      </w:r>
      <w:r w:rsidR="00AB4094">
        <w:rPr>
          <w:rFonts w:ascii="Franklin Gothic Book" w:hAnsi="Franklin Gothic Book" w:cs="Arial"/>
          <w:kern w:val="36"/>
          <w:sz w:val="22"/>
          <w:szCs w:val="22"/>
        </w:rPr>
        <w:t xml:space="preserve"> dans </w:t>
      </w:r>
      <w:r w:rsidR="00BE0AEF" w:rsidRPr="007A48BE">
        <w:rPr>
          <w:rFonts w:ascii="Franklin Gothic Book" w:hAnsi="Franklin Gothic Book" w:cs="Arial"/>
          <w:kern w:val="36"/>
          <w:sz w:val="22"/>
          <w:szCs w:val="22"/>
        </w:rPr>
        <w:t>notre plan stratégique Dare Forward 2030.</w:t>
      </w:r>
      <w:r w:rsidR="009348B6">
        <w:rPr>
          <w:rFonts w:ascii="Franklin Gothic Book" w:hAnsi="Franklin Gothic Book" w:cs="Arial"/>
          <w:kern w:val="36"/>
          <w:sz w:val="22"/>
          <w:szCs w:val="22"/>
        </w:rPr>
        <w:t xml:space="preserve"> </w:t>
      </w:r>
      <w:r w:rsidRPr="007A48BE">
        <w:rPr>
          <w:rFonts w:ascii="Franklin Gothic Book" w:hAnsi="Franklin Gothic Book" w:cs="Arial"/>
          <w:kern w:val="36"/>
          <w:sz w:val="22"/>
          <w:szCs w:val="22"/>
        </w:rPr>
        <w:t>»</w:t>
      </w:r>
    </w:p>
    <w:p w14:paraId="186FF4F9" w14:textId="77777777" w:rsidR="00F51D6C" w:rsidRPr="00F0010C" w:rsidRDefault="00F51D6C" w:rsidP="00F0010C">
      <w:pPr>
        <w:pStyle w:val="Corpsdetexte"/>
        <w:spacing w:before="0" w:after="0" w:line="240" w:lineRule="auto"/>
        <w:ind w:right="144"/>
        <w:rPr>
          <w:rFonts w:ascii="Franklin Gothic Book" w:hAnsi="Franklin Gothic Book" w:cs="Arial"/>
          <w:kern w:val="36"/>
          <w:sz w:val="22"/>
          <w:szCs w:val="22"/>
        </w:rPr>
      </w:pPr>
    </w:p>
    <w:p w14:paraId="703510BA" w14:textId="5149B2BF" w:rsidR="00897BA0" w:rsidRPr="00F0010C" w:rsidRDefault="009D6401" w:rsidP="007A48BE">
      <w:pPr>
        <w:pStyle w:val="Corpsdetexte"/>
        <w:spacing w:before="0" w:after="0" w:line="240" w:lineRule="auto"/>
        <w:ind w:right="144"/>
        <w:jc w:val="both"/>
        <w:rPr>
          <w:rFonts w:ascii="Franklin Gothic Book" w:hAnsi="Franklin Gothic Book" w:cs="Arial"/>
          <w:kern w:val="36"/>
          <w:sz w:val="22"/>
          <w:szCs w:val="22"/>
        </w:rPr>
      </w:pPr>
      <w:r>
        <w:rPr>
          <w:rFonts w:ascii="Franklin Gothic Book" w:hAnsi="Franklin Gothic Book"/>
          <w:sz w:val="22"/>
          <w:szCs w:val="22"/>
        </w:rPr>
        <w:t>« Nous sommes ravis d’annoncer la collaboration de NioCorp et Stellantis pour le développement d</w:t>
      </w:r>
      <w:r w:rsidR="008A2B5B">
        <w:rPr>
          <w:rFonts w:ascii="Franklin Gothic Book" w:hAnsi="Franklin Gothic Book"/>
          <w:sz w:val="22"/>
          <w:szCs w:val="22"/>
        </w:rPr>
        <w:t xml:space="preserve">’une </w:t>
      </w:r>
      <w:r>
        <w:rPr>
          <w:rFonts w:ascii="Franklin Gothic Book" w:hAnsi="Franklin Gothic Book"/>
          <w:sz w:val="22"/>
          <w:szCs w:val="22"/>
        </w:rPr>
        <w:t xml:space="preserve">chaîne d’approvisionnement en terres rares magnétiques. Cela permettra notamment à Stellantis d’identifier un producteur d’aimants permanents aux terres rares frittées </w:t>
      </w:r>
      <w:r w:rsidR="00F46F28">
        <w:rPr>
          <w:rFonts w:ascii="Franklin Gothic Book" w:hAnsi="Franklin Gothic Book"/>
          <w:sz w:val="22"/>
          <w:szCs w:val="22"/>
        </w:rPr>
        <w:t xml:space="preserve">avec </w:t>
      </w:r>
      <w:r>
        <w:rPr>
          <w:rFonts w:ascii="Franklin Gothic Book" w:hAnsi="Franklin Gothic Book"/>
          <w:sz w:val="22"/>
          <w:szCs w:val="22"/>
        </w:rPr>
        <w:t>une implantation géographique</w:t>
      </w:r>
      <w:r w:rsidR="00BE0AEF">
        <w:rPr>
          <w:rFonts w:ascii="Franklin Gothic Book" w:hAnsi="Franklin Gothic Book"/>
          <w:sz w:val="22"/>
          <w:szCs w:val="22"/>
        </w:rPr>
        <w:t xml:space="preserve"> supplémentaire</w:t>
      </w:r>
      <w:r>
        <w:rPr>
          <w:rFonts w:ascii="Franklin Gothic Book" w:hAnsi="Franklin Gothic Book"/>
          <w:sz w:val="22"/>
          <w:szCs w:val="22"/>
        </w:rPr>
        <w:t xml:space="preserve">, en ligne avec son objectif ambitieux d’atteindre une </w:t>
      </w:r>
      <w:r w:rsidR="00AB4094">
        <w:rPr>
          <w:rFonts w:ascii="Franklin Gothic Book" w:hAnsi="Franklin Gothic Book"/>
          <w:sz w:val="22"/>
          <w:szCs w:val="22"/>
        </w:rPr>
        <w:t>neutralité carbone</w:t>
      </w:r>
      <w:r>
        <w:rPr>
          <w:rFonts w:ascii="Franklin Gothic Book" w:hAnsi="Franklin Gothic Book"/>
          <w:sz w:val="22"/>
          <w:szCs w:val="22"/>
        </w:rPr>
        <w:t xml:space="preserve"> à l’horizon 2038 », a déclaré Mark Smith, Executive Chairman et CEO de NioCorp. « Nous sommes convaincus que la position de NioCorp en tant que fournisseur américain potentiel de plusieurs minéraux critiques essentiels à l’électrification du secteur automobile offre à Stellantis un large éventail de choix pour sécuriser ses chaînes d’approvisionnement et soutenir ses objectifs de croissance. »</w:t>
      </w:r>
    </w:p>
    <w:p w14:paraId="28CD7C26" w14:textId="25F183B2" w:rsidR="00F51D6C" w:rsidRPr="00F0010C" w:rsidRDefault="00F51D6C" w:rsidP="00B63CAC">
      <w:pPr>
        <w:pStyle w:val="Corpsdetexte"/>
        <w:spacing w:before="0" w:after="0" w:line="240" w:lineRule="auto"/>
        <w:ind w:right="144"/>
        <w:rPr>
          <w:rFonts w:ascii="Franklin Gothic Book" w:hAnsi="Franklin Gothic Book" w:cs="Arial"/>
          <w:kern w:val="36"/>
          <w:sz w:val="22"/>
          <w:szCs w:val="22"/>
        </w:rPr>
      </w:pPr>
    </w:p>
    <w:p w14:paraId="04556DE7" w14:textId="289D0E2D" w:rsidR="00805535" w:rsidRDefault="00805535" w:rsidP="007A48BE">
      <w:pPr>
        <w:pStyle w:val="Corpsdetexte"/>
        <w:spacing w:before="0" w:after="0" w:line="240" w:lineRule="auto"/>
        <w:ind w:right="144"/>
        <w:jc w:val="both"/>
        <w:rPr>
          <w:rFonts w:ascii="Franklin Gothic Book" w:hAnsi="Franklin Gothic Book"/>
          <w:color w:val="000000"/>
          <w:kern w:val="36"/>
          <w:sz w:val="22"/>
          <w:szCs w:val="22"/>
        </w:rPr>
      </w:pPr>
      <w:r>
        <w:rPr>
          <w:rFonts w:ascii="Franklin Gothic Book" w:hAnsi="Franklin Gothic Book"/>
          <w:color w:val="000000"/>
          <w:sz w:val="22"/>
          <w:szCs w:val="22"/>
        </w:rPr>
        <w:t>Comme aucune analyse économique n’a encore été menée sur les ressources minérales de terres rares incluses dans le Projet Elk Creek, des études complémentaires seront nécessaires</w:t>
      </w:r>
      <w:r w:rsidR="008A2B5B">
        <w:rPr>
          <w:rFonts w:ascii="Franklin Gothic Book" w:hAnsi="Franklin Gothic Book"/>
          <w:color w:val="000000"/>
          <w:sz w:val="22"/>
          <w:szCs w:val="22"/>
        </w:rPr>
        <w:t xml:space="preserve">. Elles permettront de </w:t>
      </w:r>
      <w:r>
        <w:rPr>
          <w:rFonts w:ascii="Franklin Gothic Book" w:hAnsi="Franklin Gothic Book"/>
          <w:color w:val="000000"/>
          <w:sz w:val="22"/>
          <w:szCs w:val="22"/>
        </w:rPr>
        <w:t xml:space="preserve">déterminer si l’extraction d’éléments de terres rares peut être raisonnablement justifiée et économiquement viable une fois tous les </w:t>
      </w:r>
      <w:r w:rsidR="008A2B5B">
        <w:rPr>
          <w:rFonts w:ascii="Franklin Gothic Book" w:hAnsi="Franklin Gothic Book"/>
          <w:color w:val="000000"/>
          <w:sz w:val="22"/>
          <w:szCs w:val="22"/>
        </w:rPr>
        <w:t>facteurs</w:t>
      </w:r>
      <w:r>
        <w:rPr>
          <w:rFonts w:ascii="Franklin Gothic Book" w:hAnsi="Franklin Gothic Book"/>
          <w:color w:val="000000"/>
          <w:sz w:val="22"/>
          <w:szCs w:val="22"/>
        </w:rPr>
        <w:t xml:space="preserve"> pertinents pris en compte.</w:t>
      </w:r>
    </w:p>
    <w:p w14:paraId="0356AAE4" w14:textId="712C82C1" w:rsidR="00A31CAE" w:rsidRDefault="00A31CAE">
      <w:pPr>
        <w:spacing w:after="0" w:line="240" w:lineRule="auto"/>
        <w:rPr>
          <w:rFonts w:ascii="Franklin Gothic Book" w:eastAsiaTheme="minorHAnsi" w:hAnsi="Franklin Gothic Book" w:cstheme="minorBidi"/>
          <w:color w:val="000000"/>
          <w:kern w:val="36"/>
          <w:sz w:val="22"/>
          <w:szCs w:val="22"/>
          <w14:ligatures w14:val="standardContextual"/>
        </w:rPr>
      </w:pPr>
      <w:r>
        <w:rPr>
          <w:rFonts w:ascii="Franklin Gothic Book" w:hAnsi="Franklin Gothic Book"/>
          <w:color w:val="000000"/>
          <w:kern w:val="36"/>
          <w:sz w:val="22"/>
          <w:szCs w:val="22"/>
        </w:rPr>
        <w:br w:type="page"/>
      </w:r>
    </w:p>
    <w:p w14:paraId="3BE008A0" w14:textId="70A19269" w:rsidR="00805535" w:rsidRDefault="00805535" w:rsidP="007A48BE">
      <w:pPr>
        <w:pStyle w:val="Corpsdetexte"/>
        <w:spacing w:before="0" w:after="0" w:line="240" w:lineRule="auto"/>
        <w:ind w:right="144"/>
        <w:jc w:val="both"/>
        <w:rPr>
          <w:rFonts w:ascii="Franklin Gothic Book" w:hAnsi="Franklin Gothic Book"/>
          <w:color w:val="000000"/>
          <w:kern w:val="36"/>
          <w:sz w:val="22"/>
          <w:szCs w:val="22"/>
        </w:rPr>
      </w:pPr>
      <w:r>
        <w:rPr>
          <w:rFonts w:ascii="Franklin Gothic Book" w:hAnsi="Franklin Gothic Book"/>
          <w:color w:val="000000"/>
          <w:sz w:val="22"/>
          <w:szCs w:val="22"/>
        </w:rPr>
        <w:lastRenderedPageBreak/>
        <w:t>La signature d’un accord engageant d’approvisionnement est soumise à la conclusion satisfaisante de la due diligence, à la négociation et au règlement des conditions finales, à la négociation des documents définitifs et aux conditions suspensives habituelles, notamment aux approbations réglementaires. Rien ne garantit qu’un accord engageant sera conclu, que ce soit aux conditions énoncées dans les présentes ou non. Pour en savoir plus, consultez les « </w:t>
      </w:r>
      <w:r>
        <w:rPr>
          <w:rFonts w:ascii="Franklin Gothic Book" w:hAnsi="Franklin Gothic Book"/>
          <w:i/>
          <w:iCs/>
          <w:color w:val="000000"/>
          <w:sz w:val="22"/>
          <w:szCs w:val="22"/>
        </w:rPr>
        <w:t>Déclarations prospectives</w:t>
      </w:r>
      <w:r>
        <w:rPr>
          <w:rFonts w:ascii="Franklin Gothic Book" w:hAnsi="Franklin Gothic Book"/>
          <w:color w:val="000000"/>
          <w:sz w:val="22"/>
          <w:szCs w:val="22"/>
        </w:rPr>
        <w:t> » ci-dessous.</w:t>
      </w:r>
    </w:p>
    <w:p w14:paraId="0F255530" w14:textId="77777777" w:rsidR="00A97215" w:rsidRPr="005D07B9" w:rsidRDefault="00A97215" w:rsidP="007A48BE">
      <w:pPr>
        <w:pStyle w:val="Corpsdetexte"/>
        <w:spacing w:before="0" w:after="0" w:line="240" w:lineRule="auto"/>
        <w:ind w:right="144"/>
        <w:jc w:val="both"/>
        <w:rPr>
          <w:rFonts w:ascii="Franklin Gothic Book" w:hAnsi="Franklin Gothic Book"/>
          <w:color w:val="000000"/>
          <w:kern w:val="36"/>
          <w:sz w:val="22"/>
          <w:szCs w:val="22"/>
        </w:rPr>
      </w:pPr>
    </w:p>
    <w:p w14:paraId="49BA6C6D" w14:textId="39586AD7" w:rsidR="00897BA0" w:rsidRPr="00F0010C" w:rsidRDefault="00897BA0" w:rsidP="00B63CAC">
      <w:pPr>
        <w:pStyle w:val="Corpsdetexte"/>
        <w:spacing w:before="0" w:after="0" w:line="240" w:lineRule="auto"/>
        <w:ind w:right="144"/>
        <w:jc w:val="center"/>
        <w:rPr>
          <w:rFonts w:ascii="Franklin Gothic Book" w:hAnsi="Franklin Gothic Book" w:cs="Arial"/>
          <w:kern w:val="36"/>
          <w:sz w:val="22"/>
          <w:szCs w:val="22"/>
        </w:rPr>
      </w:pPr>
      <w:r>
        <w:rPr>
          <w:rFonts w:ascii="Franklin Gothic Book" w:hAnsi="Franklin Gothic Book"/>
          <w:sz w:val="22"/>
          <w:szCs w:val="22"/>
        </w:rPr>
        <w:t>#  #  #</w:t>
      </w:r>
    </w:p>
    <w:p w14:paraId="10077E38" w14:textId="77777777" w:rsidR="00F51D6C" w:rsidRPr="00F0010C" w:rsidRDefault="00F51D6C" w:rsidP="00F0010C">
      <w:pPr>
        <w:pStyle w:val="Corpsdetexte"/>
        <w:spacing w:before="0" w:after="0" w:line="240" w:lineRule="auto"/>
        <w:ind w:right="144"/>
        <w:jc w:val="center"/>
        <w:rPr>
          <w:rFonts w:ascii="Franklin Gothic Book" w:hAnsi="Franklin Gothic Book" w:cs="Arial"/>
          <w:kern w:val="36"/>
          <w:sz w:val="22"/>
          <w:szCs w:val="22"/>
        </w:rPr>
      </w:pPr>
    </w:p>
    <w:p w14:paraId="70EF5EF4" w14:textId="2D8AD2C3" w:rsidR="009D6401" w:rsidRPr="00F0010C" w:rsidRDefault="00920A9C" w:rsidP="00B63CAC">
      <w:pPr>
        <w:spacing w:after="0" w:line="240" w:lineRule="auto"/>
        <w:rPr>
          <w:rFonts w:ascii="Franklin Gothic Book" w:hAnsi="Franklin Gothic Book" w:cs="Arial"/>
          <w:kern w:val="36"/>
          <w:sz w:val="22"/>
          <w:szCs w:val="22"/>
        </w:rPr>
      </w:pPr>
      <w:r>
        <w:rPr>
          <w:rFonts w:ascii="Franklin Gothic Book" w:hAnsi="Franklin Gothic Book"/>
          <w:sz w:val="22"/>
          <w:szCs w:val="22"/>
        </w:rPr>
        <w:t>@Stellantis $STLA @NioCorp $NB $NB.TO #rareearth #neodymium #praseodymium #dysprosium #terbium #ElkCreek #Niobium #Scandium #permanentmagnets</w:t>
      </w:r>
    </w:p>
    <w:p w14:paraId="41C440CE" w14:textId="77777777" w:rsidR="00B63CAC" w:rsidRPr="00F0010C" w:rsidRDefault="00B63CAC" w:rsidP="00F0010C">
      <w:pPr>
        <w:spacing w:after="0" w:line="240" w:lineRule="auto"/>
        <w:rPr>
          <w:rFonts w:ascii="Franklin Gothic Book" w:hAnsi="Franklin Gothic Book" w:cs="Arial"/>
          <w:kern w:val="36"/>
          <w:sz w:val="22"/>
          <w:szCs w:val="22"/>
        </w:rPr>
      </w:pPr>
    </w:p>
    <w:p w14:paraId="2A1A9BF2" w14:textId="77777777" w:rsidR="009D6401" w:rsidRPr="00F0010C" w:rsidRDefault="009D6401" w:rsidP="00F0010C">
      <w:pPr>
        <w:spacing w:after="0" w:line="240" w:lineRule="auto"/>
        <w:rPr>
          <w:rFonts w:ascii="Franklin Gothic Book" w:hAnsi="Franklin Gothic Book" w:cs="Arial"/>
          <w:b/>
          <w:bCs/>
          <w:kern w:val="36"/>
          <w:sz w:val="22"/>
          <w:szCs w:val="22"/>
        </w:rPr>
      </w:pPr>
      <w:r>
        <w:rPr>
          <w:rFonts w:ascii="Franklin Gothic Book" w:hAnsi="Franklin Gothic Book"/>
          <w:b/>
          <w:bCs/>
          <w:sz w:val="22"/>
          <w:szCs w:val="22"/>
        </w:rPr>
        <w:t xml:space="preserve">Pour en savoir plus </w:t>
      </w:r>
    </w:p>
    <w:p w14:paraId="54450CED" w14:textId="77777777" w:rsidR="00F0010C" w:rsidRDefault="00F0010C" w:rsidP="005D07B9">
      <w:pPr>
        <w:spacing w:after="0" w:line="240" w:lineRule="auto"/>
        <w:ind w:left="720"/>
        <w:rPr>
          <w:rFonts w:ascii="Franklin Gothic Book" w:hAnsi="Franklin Gothic Book" w:cs="Arial"/>
          <w:kern w:val="36"/>
          <w:sz w:val="22"/>
          <w:szCs w:val="22"/>
        </w:rPr>
      </w:pPr>
    </w:p>
    <w:p w14:paraId="4A36E50E" w14:textId="77777777" w:rsidR="00F0010C" w:rsidRPr="00B57BF5" w:rsidRDefault="00F0010C" w:rsidP="005D07B9">
      <w:pPr>
        <w:spacing w:after="0"/>
        <w:ind w:left="450"/>
        <w:rPr>
          <w:rFonts w:ascii="Franklin Gothic Book" w:hAnsi="Franklin Gothic Book" w:cs="Arial"/>
          <w:i/>
          <w:iCs/>
          <w:sz w:val="22"/>
          <w:szCs w:val="22"/>
        </w:rPr>
      </w:pPr>
      <w:r>
        <w:rPr>
          <w:rFonts w:ascii="Franklin Gothic Book" w:hAnsi="Franklin Gothic Book"/>
          <w:i/>
          <w:iCs/>
          <w:sz w:val="22"/>
          <w:szCs w:val="22"/>
        </w:rPr>
        <w:t>Stellantis</w:t>
      </w:r>
    </w:p>
    <w:p w14:paraId="36FE36F5" w14:textId="77777777" w:rsidR="00F0010C" w:rsidRPr="00B57BF5" w:rsidRDefault="00F0010C" w:rsidP="005D07B9">
      <w:pPr>
        <w:spacing w:after="0"/>
        <w:ind w:left="450"/>
        <w:rPr>
          <w:rFonts w:ascii="Franklin Gothic Book" w:hAnsi="Franklin Gothic Book" w:cs="Arial"/>
          <w:sz w:val="22"/>
          <w:szCs w:val="22"/>
        </w:rPr>
      </w:pPr>
    </w:p>
    <w:p w14:paraId="518F2BEC" w14:textId="77777777" w:rsidR="00F0010C" w:rsidRPr="00B57BF5" w:rsidRDefault="00F0010C" w:rsidP="005D07B9">
      <w:pPr>
        <w:tabs>
          <w:tab w:val="left" w:pos="2592"/>
        </w:tabs>
        <w:spacing w:after="0"/>
        <w:ind w:left="450"/>
        <w:rPr>
          <w:rFonts w:ascii="Franklin Gothic Book" w:eastAsia="Arial" w:hAnsi="Franklin Gothic Book" w:cs="Arial"/>
          <w:sz w:val="22"/>
          <w:szCs w:val="22"/>
        </w:rPr>
      </w:pPr>
      <w:r>
        <w:rPr>
          <w:rFonts w:ascii="Franklin Gothic Book" w:hAnsi="Franklin Gothic Book"/>
          <w:sz w:val="22"/>
          <w:szCs w:val="22"/>
        </w:rPr>
        <w:t xml:space="preserve">Fernão Silveira </w:t>
      </w:r>
    </w:p>
    <w:p w14:paraId="7C94CB2E" w14:textId="77777777" w:rsidR="00F0010C" w:rsidRPr="00EE4C73" w:rsidRDefault="00F0010C" w:rsidP="005D07B9">
      <w:pPr>
        <w:tabs>
          <w:tab w:val="left" w:pos="2592"/>
        </w:tabs>
        <w:spacing w:after="0"/>
        <w:ind w:left="450"/>
        <w:rPr>
          <w:rFonts w:ascii="Franklin Gothic Book" w:eastAsia="Arial" w:hAnsi="Franklin Gothic Book" w:cs="Arial"/>
          <w:sz w:val="22"/>
          <w:szCs w:val="22"/>
          <w:lang w:val="en-US"/>
        </w:rPr>
      </w:pPr>
      <w:r w:rsidRPr="00EE4C73">
        <w:rPr>
          <w:rFonts w:ascii="Franklin Gothic Book" w:hAnsi="Franklin Gothic Book"/>
          <w:sz w:val="22"/>
          <w:szCs w:val="22"/>
          <w:lang w:val="en-US"/>
        </w:rPr>
        <w:t>Global Communications / Stellantis</w:t>
      </w:r>
    </w:p>
    <w:p w14:paraId="7343AABB" w14:textId="77777777" w:rsidR="00F0010C" w:rsidRPr="00EE4C73" w:rsidRDefault="00F0010C" w:rsidP="005D07B9">
      <w:pPr>
        <w:tabs>
          <w:tab w:val="left" w:pos="2592"/>
        </w:tabs>
        <w:spacing w:after="0"/>
        <w:ind w:left="450"/>
        <w:rPr>
          <w:rFonts w:ascii="Franklin Gothic Book" w:eastAsia="Arial" w:hAnsi="Franklin Gothic Book" w:cs="Arial"/>
          <w:sz w:val="22"/>
          <w:szCs w:val="22"/>
          <w:lang w:val="en-US"/>
        </w:rPr>
      </w:pPr>
      <w:r w:rsidRPr="00EE4C73">
        <w:rPr>
          <w:rFonts w:ascii="Franklin Gothic Book" w:hAnsi="Franklin Gothic Book"/>
          <w:sz w:val="22"/>
          <w:szCs w:val="22"/>
          <w:lang w:val="en-US"/>
        </w:rPr>
        <w:t>+31 6 43 25 43 41</w:t>
      </w:r>
    </w:p>
    <w:p w14:paraId="05F9ADEA" w14:textId="30EB27AF" w:rsidR="00F0010C" w:rsidRPr="00EE4C73" w:rsidRDefault="00437B70" w:rsidP="005D07B9">
      <w:pPr>
        <w:tabs>
          <w:tab w:val="left" w:pos="2592"/>
        </w:tabs>
        <w:spacing w:after="0"/>
        <w:ind w:left="450"/>
        <w:rPr>
          <w:rFonts w:ascii="Franklin Gothic Book" w:eastAsia="Arial" w:hAnsi="Franklin Gothic Book" w:cs="Arial"/>
          <w:sz w:val="22"/>
          <w:szCs w:val="22"/>
          <w:lang w:val="en-US"/>
        </w:rPr>
      </w:pPr>
      <w:hyperlink r:id="rId9" w:history="1">
        <w:r w:rsidR="00B57BF5" w:rsidRPr="00EE4C73">
          <w:rPr>
            <w:rStyle w:val="Lienhypertexte"/>
            <w:rFonts w:ascii="Franklin Gothic Book" w:hAnsi="Franklin Gothic Book"/>
            <w:sz w:val="22"/>
            <w:szCs w:val="22"/>
            <w:lang w:val="en-US"/>
          </w:rPr>
          <w:t>fernao.silveira@stellantis.com</w:t>
        </w:r>
      </w:hyperlink>
      <w:r w:rsidR="00B57BF5" w:rsidRPr="00EE4C73">
        <w:rPr>
          <w:rFonts w:ascii="Franklin Gothic Book" w:hAnsi="Franklin Gothic Book"/>
          <w:sz w:val="22"/>
          <w:szCs w:val="22"/>
          <w:lang w:val="en-US"/>
        </w:rPr>
        <w:t xml:space="preserve"> </w:t>
      </w:r>
    </w:p>
    <w:p w14:paraId="352ED5D6" w14:textId="72D73AD7" w:rsidR="00F0010C" w:rsidRPr="00EE4C73" w:rsidRDefault="00437B70" w:rsidP="005D07B9">
      <w:pPr>
        <w:tabs>
          <w:tab w:val="left" w:pos="2592"/>
        </w:tabs>
        <w:spacing w:after="0"/>
        <w:ind w:left="450"/>
        <w:rPr>
          <w:rFonts w:ascii="Franklin Gothic Book" w:eastAsia="Arial" w:hAnsi="Franklin Gothic Book" w:cs="Arial"/>
          <w:sz w:val="22"/>
          <w:szCs w:val="22"/>
          <w:lang w:val="en-US"/>
        </w:rPr>
      </w:pPr>
      <w:hyperlink r:id="rId10" w:history="1">
        <w:r w:rsidR="00B57BF5" w:rsidRPr="00EE4C73">
          <w:rPr>
            <w:rStyle w:val="Lienhypertexte"/>
            <w:rFonts w:ascii="Franklin Gothic Book" w:hAnsi="Franklin Gothic Book"/>
            <w:sz w:val="22"/>
            <w:szCs w:val="22"/>
            <w:lang w:val="en-US"/>
          </w:rPr>
          <w:t>communications@stellantis.com</w:t>
        </w:r>
      </w:hyperlink>
      <w:r w:rsidR="00B57BF5" w:rsidRPr="00EE4C73">
        <w:rPr>
          <w:rFonts w:ascii="Franklin Gothic Book" w:hAnsi="Franklin Gothic Book"/>
          <w:sz w:val="22"/>
          <w:szCs w:val="22"/>
          <w:lang w:val="en-US"/>
        </w:rPr>
        <w:t xml:space="preserve"> </w:t>
      </w:r>
    </w:p>
    <w:p w14:paraId="60CE3D2F" w14:textId="77777777" w:rsidR="00F0010C" w:rsidRPr="00EE4C73" w:rsidRDefault="00437B70" w:rsidP="005D07B9">
      <w:pPr>
        <w:tabs>
          <w:tab w:val="left" w:pos="2592"/>
        </w:tabs>
        <w:spacing w:after="0"/>
        <w:ind w:left="450"/>
        <w:rPr>
          <w:rFonts w:ascii="Franklin Gothic Book" w:eastAsia="Arial" w:hAnsi="Franklin Gothic Book" w:cs="Arial"/>
          <w:sz w:val="22"/>
          <w:szCs w:val="22"/>
          <w:lang w:val="en-US"/>
        </w:rPr>
      </w:pPr>
      <w:hyperlink r:id="rId11" w:history="1">
        <w:r w:rsidR="00B57BF5" w:rsidRPr="00EE4C73">
          <w:rPr>
            <w:rStyle w:val="Lienhypertexte"/>
            <w:rFonts w:ascii="Franklin Gothic Book" w:hAnsi="Franklin Gothic Book"/>
            <w:sz w:val="22"/>
            <w:szCs w:val="22"/>
            <w:lang w:val="en-US"/>
          </w:rPr>
          <w:t>www.stellantis.com</w:t>
        </w:r>
      </w:hyperlink>
    </w:p>
    <w:p w14:paraId="175D115C" w14:textId="77777777" w:rsidR="00F0010C" w:rsidRPr="00EE4C73" w:rsidRDefault="00F0010C" w:rsidP="005D07B9">
      <w:pPr>
        <w:tabs>
          <w:tab w:val="left" w:pos="2592"/>
        </w:tabs>
        <w:spacing w:after="0"/>
        <w:ind w:left="450"/>
        <w:rPr>
          <w:rFonts w:ascii="Franklin Gothic Book" w:eastAsia="Arial" w:hAnsi="Franklin Gothic Book" w:cs="Arial"/>
          <w:sz w:val="22"/>
          <w:szCs w:val="22"/>
          <w:lang w:val="en-US"/>
        </w:rPr>
      </w:pPr>
    </w:p>
    <w:p w14:paraId="63C0DCFE" w14:textId="77777777" w:rsidR="00F0010C" w:rsidRPr="00EE4C73" w:rsidRDefault="002F2598" w:rsidP="005D07B9">
      <w:pPr>
        <w:spacing w:after="0" w:line="240" w:lineRule="auto"/>
        <w:ind w:left="450"/>
        <w:rPr>
          <w:rFonts w:ascii="Franklin Gothic Book" w:hAnsi="Franklin Gothic Book" w:cs="Arial"/>
          <w:i/>
          <w:iCs/>
          <w:kern w:val="36"/>
          <w:sz w:val="22"/>
          <w:szCs w:val="22"/>
          <w:lang w:val="en-US"/>
        </w:rPr>
      </w:pPr>
      <w:r w:rsidRPr="00EE4C73">
        <w:rPr>
          <w:rFonts w:ascii="Franklin Gothic Book" w:hAnsi="Franklin Gothic Book"/>
          <w:i/>
          <w:iCs/>
          <w:sz w:val="22"/>
          <w:szCs w:val="22"/>
          <w:lang w:val="en-US"/>
        </w:rPr>
        <w:t>NioCorp :</w:t>
      </w:r>
    </w:p>
    <w:p w14:paraId="3D9530DE" w14:textId="77777777" w:rsidR="00F0010C" w:rsidRPr="00EE4C73" w:rsidRDefault="00F0010C" w:rsidP="005D07B9">
      <w:pPr>
        <w:spacing w:after="0" w:line="240" w:lineRule="auto"/>
        <w:ind w:left="450"/>
        <w:rPr>
          <w:rFonts w:ascii="Franklin Gothic Book" w:hAnsi="Franklin Gothic Book" w:cs="Arial"/>
          <w:kern w:val="36"/>
          <w:sz w:val="22"/>
          <w:szCs w:val="22"/>
          <w:lang w:val="en-US"/>
        </w:rPr>
      </w:pPr>
    </w:p>
    <w:p w14:paraId="59DD5C91" w14:textId="658F17E9" w:rsidR="009D6401" w:rsidRPr="00EE4C73" w:rsidRDefault="002F2598" w:rsidP="007A48BE">
      <w:pPr>
        <w:spacing w:after="0" w:line="240" w:lineRule="auto"/>
        <w:ind w:left="450"/>
        <w:jc w:val="both"/>
        <w:rPr>
          <w:rFonts w:ascii="Franklin Gothic Book" w:hAnsi="Franklin Gothic Book" w:cs="Arial"/>
          <w:kern w:val="36"/>
          <w:sz w:val="22"/>
          <w:szCs w:val="22"/>
          <w:lang w:val="en-US"/>
        </w:rPr>
      </w:pPr>
      <w:r w:rsidRPr="00EE4C73">
        <w:rPr>
          <w:rFonts w:ascii="Franklin Gothic Book" w:hAnsi="Franklin Gothic Book"/>
          <w:sz w:val="22"/>
          <w:szCs w:val="22"/>
          <w:lang w:val="en-US"/>
        </w:rPr>
        <w:t xml:space="preserve">Jim Sims, Chief Communications Officer, NioCorp Developments Ltd., 720-334-7066, </w:t>
      </w:r>
      <w:hyperlink r:id="rId12" w:history="1">
        <w:r w:rsidRPr="00EE4C73">
          <w:rPr>
            <w:rFonts w:ascii="Franklin Gothic Book" w:hAnsi="Franklin Gothic Book"/>
            <w:sz w:val="22"/>
            <w:szCs w:val="22"/>
            <w:lang w:val="en-US"/>
          </w:rPr>
          <w:t>jim.sims@niocorp.com</w:t>
        </w:r>
      </w:hyperlink>
    </w:p>
    <w:p w14:paraId="0A86DE6D" w14:textId="77777777" w:rsidR="00F51D6C" w:rsidRPr="00EE4C73" w:rsidRDefault="00F51D6C" w:rsidP="005D07B9">
      <w:pPr>
        <w:spacing w:after="0"/>
        <w:ind w:left="450"/>
        <w:rPr>
          <w:rFonts w:ascii="Franklin Gothic Book" w:hAnsi="Franklin Gothic Book" w:cs="Arial"/>
          <w:sz w:val="22"/>
          <w:szCs w:val="22"/>
          <w:lang w:val="en-US"/>
        </w:rPr>
      </w:pPr>
      <w:bookmarkStart w:id="1" w:name="_Hlk115941120"/>
    </w:p>
    <w:bookmarkEnd w:id="1"/>
    <w:p w14:paraId="7C282716" w14:textId="12B98070" w:rsidR="00F0010C" w:rsidRDefault="002F2598" w:rsidP="00F0010C">
      <w:pPr>
        <w:spacing w:after="0" w:line="240" w:lineRule="auto"/>
        <w:rPr>
          <w:rFonts w:ascii="Franklin Gothic Book" w:hAnsi="Franklin Gothic Book" w:cs="Arial"/>
          <w:b/>
          <w:bCs/>
          <w:kern w:val="36"/>
          <w:sz w:val="22"/>
          <w:szCs w:val="22"/>
        </w:rPr>
      </w:pPr>
      <w:r>
        <w:rPr>
          <w:rFonts w:ascii="Franklin Gothic Book" w:hAnsi="Franklin Gothic Book"/>
          <w:b/>
          <w:bCs/>
          <w:sz w:val="22"/>
          <w:szCs w:val="22"/>
        </w:rPr>
        <w:t xml:space="preserve">À propos de Stellantis </w:t>
      </w:r>
    </w:p>
    <w:p w14:paraId="7BEC4DB6" w14:textId="77777777" w:rsidR="00F0010C" w:rsidRPr="00F0010C" w:rsidRDefault="00F0010C" w:rsidP="00F0010C">
      <w:pPr>
        <w:spacing w:after="0" w:line="240" w:lineRule="auto"/>
        <w:rPr>
          <w:rFonts w:ascii="Franklin Gothic Book" w:hAnsi="Franklin Gothic Book" w:cs="Arial"/>
          <w:b/>
          <w:bCs/>
          <w:kern w:val="36"/>
          <w:sz w:val="22"/>
          <w:szCs w:val="22"/>
        </w:rPr>
      </w:pPr>
    </w:p>
    <w:p w14:paraId="41D1548B" w14:textId="77777777" w:rsidR="002F2598" w:rsidRPr="00F0010C" w:rsidRDefault="002F2598" w:rsidP="007A48BE">
      <w:pPr>
        <w:spacing w:after="0" w:line="240" w:lineRule="auto"/>
        <w:ind w:right="450"/>
        <w:jc w:val="both"/>
        <w:rPr>
          <w:rFonts w:ascii="Franklin Gothic Book" w:eastAsiaTheme="minorHAnsi" w:hAnsi="Franklin Gothic Book" w:cs="Arial"/>
          <w:kern w:val="36"/>
          <w:sz w:val="22"/>
          <w:szCs w:val="22"/>
          <w14:ligatures w14:val="standardContextual"/>
        </w:rPr>
      </w:pPr>
      <w:r>
        <w:rPr>
          <w:rFonts w:ascii="Franklin Gothic Book" w:hAnsi="Franklin Gothic Book"/>
          <w:sz w:val="22"/>
          <w:szCs w:val="22"/>
        </w:rPr>
        <w:t xml:space="preserve">Stellantis N.V. (NYSE : STLA / Euronext Milan : STLAM / Euronext Paris : STLAP)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3" w:history="1">
        <w:r>
          <w:rPr>
            <w:rStyle w:val="Lienhypertexte"/>
            <w:rFonts w:ascii="Franklin Gothic Book" w:hAnsi="Franklin Gothic Book"/>
            <w:color w:val="auto"/>
            <w:sz w:val="22"/>
            <w:szCs w:val="22"/>
          </w:rPr>
          <w:t>www.stellantis.com</w:t>
        </w:r>
      </w:hyperlink>
      <w:r>
        <w:rPr>
          <w:rFonts w:ascii="Franklin Gothic Book" w:hAnsi="Franklin Gothic Book"/>
          <w:sz w:val="22"/>
          <w:szCs w:val="22"/>
        </w:rPr>
        <w:t>.</w:t>
      </w:r>
    </w:p>
    <w:p w14:paraId="029371A6" w14:textId="77777777" w:rsidR="00DD4093" w:rsidRDefault="00DD4093" w:rsidP="00F0010C">
      <w:pPr>
        <w:spacing w:after="0" w:line="240" w:lineRule="auto"/>
        <w:rPr>
          <w:rFonts w:ascii="Franklin Gothic Book" w:hAnsi="Franklin Gothic Book"/>
          <w:b/>
          <w:bCs/>
          <w:sz w:val="22"/>
          <w:szCs w:val="22"/>
        </w:rPr>
      </w:pPr>
    </w:p>
    <w:p w14:paraId="1C3515B9" w14:textId="0BD196D0" w:rsidR="009D6401" w:rsidRDefault="009D6401" w:rsidP="00F0010C">
      <w:pPr>
        <w:spacing w:after="0" w:line="240" w:lineRule="auto"/>
        <w:rPr>
          <w:rFonts w:ascii="Franklin Gothic Book" w:hAnsi="Franklin Gothic Book" w:cs="Arial"/>
          <w:b/>
          <w:bCs/>
          <w:kern w:val="36"/>
          <w:sz w:val="22"/>
          <w:szCs w:val="22"/>
        </w:rPr>
      </w:pPr>
      <w:r>
        <w:rPr>
          <w:rFonts w:ascii="Franklin Gothic Book" w:hAnsi="Franklin Gothic Book"/>
          <w:b/>
          <w:bCs/>
          <w:sz w:val="22"/>
          <w:szCs w:val="22"/>
        </w:rPr>
        <w:t>À propos de NioCorp</w:t>
      </w:r>
    </w:p>
    <w:p w14:paraId="274C40DE" w14:textId="344B4E72" w:rsidR="00F0010C" w:rsidRPr="00F0010C" w:rsidRDefault="00F0010C" w:rsidP="00F0010C">
      <w:pPr>
        <w:spacing w:after="0" w:line="240" w:lineRule="auto"/>
        <w:rPr>
          <w:rFonts w:ascii="Franklin Gothic Book" w:hAnsi="Franklin Gothic Book" w:cs="Arial"/>
          <w:b/>
          <w:bCs/>
          <w:kern w:val="36"/>
          <w:sz w:val="22"/>
          <w:szCs w:val="22"/>
        </w:rPr>
      </w:pPr>
    </w:p>
    <w:p w14:paraId="74D26AB9" w14:textId="06C73939" w:rsidR="009D6401" w:rsidRPr="00F0010C" w:rsidRDefault="00BE6D0B" w:rsidP="007A48BE">
      <w:pPr>
        <w:spacing w:after="0" w:line="240" w:lineRule="auto"/>
        <w:ind w:right="450"/>
        <w:jc w:val="both"/>
        <w:rPr>
          <w:rFonts w:ascii="Franklin Gothic Book" w:hAnsi="Franklin Gothic Book" w:cs="Arial"/>
          <w:kern w:val="36"/>
          <w:sz w:val="22"/>
          <w:szCs w:val="22"/>
        </w:rPr>
      </w:pPr>
      <w:r>
        <w:rPr>
          <w:rFonts w:ascii="Franklin Gothic Book" w:hAnsi="Franklin Gothic Book"/>
          <w:sz w:val="22"/>
          <w:szCs w:val="22"/>
        </w:rPr>
        <w:t xml:space="preserve">NioCorp développe actuellement un projet de minéraux critiques dans le sud-est du Nebraska, projet grâce auquel du niobium, du scandium et du titane seront produits. La Société évalue également le potentiel de production de plusieurs terres rares via son Projet Elk Creek. Le niobium est utilisé pour produire des superalliages ainsi que de l’acier à haute résistance et à faible teneur en alliage, qui est un acier plus léger et plus résistant, utilisé dans les applications automobiles, structurelles et de pipeline. Le scandium est un matériau de superalliage qui peut être combiné avec de l’aluminium pour fabriquer des alliages présentant une résistance accrue et une meilleure résistance à la corrosion. Le scandium est également un composant essentiel pour les piles à combustible à oxyde solide avancées. Utilisé dans divers alliages légers, le titane est un composant clé des pigments utilisés dans le papier, la peinture et les plastiques. On s’en sert également dans diverses applications </w:t>
      </w:r>
      <w:r>
        <w:rPr>
          <w:rFonts w:ascii="Franklin Gothic Book" w:hAnsi="Franklin Gothic Book"/>
          <w:sz w:val="22"/>
          <w:szCs w:val="22"/>
        </w:rPr>
        <w:lastRenderedPageBreak/>
        <w:t>liées à l’aérospatiale, à l’armurerie et aux implants médicaux. Les terres rares magnétiques, comme le néodyme, le praséodyme, le terbium et le dysprosium, sont essentielles à la fabrication des aimants Néodyme-Fer-Bore qui sont utilisés dans une grande variété d’applications civiles et de défense.</w:t>
      </w:r>
    </w:p>
    <w:p w14:paraId="0DBC2EAC" w14:textId="77777777" w:rsidR="009348B6" w:rsidRDefault="009348B6" w:rsidP="00F51D6C">
      <w:pPr>
        <w:spacing w:before="240"/>
        <w:rPr>
          <w:rFonts w:ascii="Franklin Gothic Book" w:hAnsi="Franklin Gothic Book"/>
          <w:b/>
          <w:bCs/>
          <w:sz w:val="22"/>
          <w:szCs w:val="22"/>
        </w:rPr>
      </w:pPr>
    </w:p>
    <w:p w14:paraId="3B7A46D9" w14:textId="77777777" w:rsidR="00DD4093" w:rsidRDefault="00DD4093">
      <w:pPr>
        <w:spacing w:after="0" w:line="240" w:lineRule="auto"/>
        <w:rPr>
          <w:rFonts w:ascii="Franklin Gothic Book" w:hAnsi="Franklin Gothic Book"/>
          <w:b/>
          <w:bCs/>
          <w:sz w:val="22"/>
          <w:szCs w:val="22"/>
        </w:rPr>
      </w:pPr>
      <w:r>
        <w:rPr>
          <w:rFonts w:ascii="Franklin Gothic Book" w:hAnsi="Franklin Gothic Book"/>
          <w:b/>
          <w:bCs/>
          <w:sz w:val="22"/>
          <w:szCs w:val="22"/>
        </w:rPr>
        <w:br w:type="page"/>
      </w:r>
    </w:p>
    <w:p w14:paraId="26D11792" w14:textId="6D7BA51D" w:rsidR="00F51D6C" w:rsidRPr="00F0010C" w:rsidRDefault="00F51D6C" w:rsidP="00F51D6C">
      <w:pPr>
        <w:spacing w:before="240"/>
        <w:rPr>
          <w:rFonts w:ascii="Franklin Gothic Book" w:eastAsia="Encode Sans" w:hAnsi="Franklin Gothic Book" w:cs="Arial"/>
          <w:b/>
          <w:bCs/>
          <w:sz w:val="22"/>
          <w:szCs w:val="22"/>
        </w:rPr>
      </w:pPr>
      <w:r>
        <w:rPr>
          <w:rFonts w:ascii="Franklin Gothic Book" w:hAnsi="Franklin Gothic Book"/>
          <w:b/>
          <w:bCs/>
          <w:sz w:val="22"/>
          <w:szCs w:val="22"/>
        </w:rPr>
        <w:lastRenderedPageBreak/>
        <w:t>DÉCLARATIONS PROSPECTIVES DE STELLANTIS</w:t>
      </w:r>
    </w:p>
    <w:p w14:paraId="3E820731" w14:textId="700C3453" w:rsidR="00F51D6C" w:rsidRDefault="00F51D6C" w:rsidP="007A48BE">
      <w:pPr>
        <w:spacing w:after="0" w:line="240" w:lineRule="auto"/>
        <w:ind w:right="450"/>
        <w:jc w:val="both"/>
        <w:rPr>
          <w:rFonts w:ascii="Franklin Gothic Book" w:hAnsi="Franklin Gothic Book" w:cs="Arial"/>
          <w:kern w:val="36"/>
          <w:sz w:val="22"/>
          <w:szCs w:val="22"/>
        </w:rPr>
      </w:pPr>
      <w:r>
        <w:rPr>
          <w:rFonts w:ascii="Franklin Gothic Book" w:hAnsi="Franklin Gothic Book"/>
          <w:sz w:val="22"/>
          <w:szCs w:val="22"/>
        </w:rPr>
        <w:t>Cette communication contient des déclarations prospectives. En particulier, les déclarations concernant les événements futurs et les résultats opérationnels anticipés, les stratégies commerciales, les bénéfices escomptés suite à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1F4040BA" w14:textId="77777777" w:rsidR="00043E73" w:rsidRPr="00F0010C" w:rsidRDefault="00043E73" w:rsidP="007A48BE">
      <w:pPr>
        <w:spacing w:after="0" w:line="240" w:lineRule="auto"/>
        <w:ind w:right="450"/>
        <w:jc w:val="both"/>
        <w:rPr>
          <w:rFonts w:ascii="Franklin Gothic Book" w:hAnsi="Franklin Gothic Book" w:cs="Arial"/>
          <w:kern w:val="36"/>
          <w:sz w:val="22"/>
          <w:szCs w:val="22"/>
        </w:rPr>
      </w:pPr>
    </w:p>
    <w:p w14:paraId="1D5AC3C3" w14:textId="77777777" w:rsidR="00F51D6C" w:rsidRPr="00F0010C" w:rsidRDefault="00F51D6C" w:rsidP="007A48BE">
      <w:pPr>
        <w:spacing w:after="0" w:line="240" w:lineRule="auto"/>
        <w:ind w:right="450"/>
        <w:jc w:val="both"/>
        <w:rPr>
          <w:rFonts w:ascii="Franklin Gothic Book" w:hAnsi="Franklin Gothic Book" w:cs="Arial"/>
          <w:kern w:val="36"/>
          <w:sz w:val="22"/>
          <w:szCs w:val="22"/>
        </w:rPr>
      </w:pPr>
      <w:r>
        <w:rPr>
          <w:rFonts w:ascii="Franklin Gothic Book" w:hAnsi="Franklin Gothic Book"/>
          <w:sz w:val="22"/>
          <w:szCs w:val="22"/>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w:t>
      </w:r>
      <w:r>
        <w:rPr>
          <w:rFonts w:ascii="Franklin Gothic Book" w:hAnsi="Franklin Gothic Book"/>
          <w:sz w:val="22"/>
          <w:szCs w:val="22"/>
        </w:rPr>
        <w:lastRenderedPageBreak/>
        <w:t>pour nos rapports actuels, ainsi que les amendements s’y rapportant déposés auprès de la SEC ; et d’autres risques et incertitudes.</w:t>
      </w:r>
    </w:p>
    <w:p w14:paraId="0A6BB0D5" w14:textId="77777777" w:rsidR="00F0010C" w:rsidRDefault="00F0010C" w:rsidP="007A48BE">
      <w:pPr>
        <w:spacing w:after="0" w:line="240" w:lineRule="auto"/>
        <w:ind w:right="450"/>
        <w:jc w:val="both"/>
        <w:rPr>
          <w:rFonts w:ascii="Franklin Gothic Book" w:hAnsi="Franklin Gothic Book" w:cs="Arial"/>
          <w:kern w:val="36"/>
          <w:sz w:val="22"/>
          <w:szCs w:val="22"/>
        </w:rPr>
      </w:pPr>
    </w:p>
    <w:p w14:paraId="3E14C4F7" w14:textId="439D73AE" w:rsidR="00F51D6C" w:rsidRPr="00F0010C" w:rsidRDefault="00F51D6C" w:rsidP="007A48BE">
      <w:pPr>
        <w:spacing w:after="0" w:line="240" w:lineRule="auto"/>
        <w:ind w:right="450"/>
        <w:jc w:val="both"/>
        <w:rPr>
          <w:rFonts w:ascii="Franklin Gothic Book" w:hAnsi="Franklin Gothic Book" w:cs="Arial"/>
          <w:kern w:val="36"/>
          <w:sz w:val="22"/>
          <w:szCs w:val="22"/>
        </w:rPr>
      </w:pPr>
      <w:r>
        <w:rPr>
          <w:rFonts w:ascii="Franklin Gothic Book" w:hAnsi="Franklin Gothic Book"/>
          <w:sz w:val="22"/>
          <w:szCs w:val="22"/>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23CB8F27" w14:textId="6A98E61E" w:rsidR="002F2598" w:rsidRPr="00F0010C" w:rsidRDefault="002F2598" w:rsidP="00F0010C">
      <w:pPr>
        <w:spacing w:after="0" w:line="240" w:lineRule="auto"/>
        <w:rPr>
          <w:rFonts w:ascii="Franklin Gothic Book" w:hAnsi="Franklin Gothic Book" w:cs="Arial"/>
          <w:kern w:val="36"/>
          <w:sz w:val="22"/>
          <w:szCs w:val="22"/>
        </w:rPr>
      </w:pPr>
    </w:p>
    <w:p w14:paraId="1FB0BD56" w14:textId="77777777" w:rsidR="002F2598" w:rsidRPr="00F0010C" w:rsidRDefault="002F2598" w:rsidP="00F0010C">
      <w:pPr>
        <w:spacing w:after="0" w:line="240" w:lineRule="auto"/>
        <w:rPr>
          <w:rFonts w:ascii="Franklin Gothic Book" w:hAnsi="Franklin Gothic Book" w:cs="Arial"/>
          <w:kern w:val="36"/>
          <w:sz w:val="22"/>
          <w:szCs w:val="22"/>
        </w:rPr>
      </w:pPr>
    </w:p>
    <w:p w14:paraId="7B44BBEC" w14:textId="32E8DE7C" w:rsidR="00E305A9" w:rsidRPr="00F0010C" w:rsidRDefault="00E305A9" w:rsidP="007A48BE">
      <w:pPr>
        <w:spacing w:after="0" w:line="240" w:lineRule="auto"/>
        <w:jc w:val="both"/>
        <w:rPr>
          <w:rFonts w:ascii="Franklin Gothic Book" w:eastAsiaTheme="minorHAnsi" w:hAnsi="Franklin Gothic Book" w:cs="Arial"/>
          <w:b/>
          <w:bCs/>
          <w:kern w:val="36"/>
          <w:sz w:val="22"/>
          <w:szCs w:val="22"/>
          <w14:ligatures w14:val="standardContextual"/>
        </w:rPr>
      </w:pPr>
      <w:r>
        <w:rPr>
          <w:rFonts w:ascii="Franklin Gothic Book" w:hAnsi="Franklin Gothic Book"/>
          <w:b/>
          <w:bCs/>
          <w:sz w:val="22"/>
          <w:szCs w:val="22"/>
        </w:rPr>
        <w:t>Mise en garde relative aux déclarations prospectives (NioCorp)</w:t>
      </w:r>
    </w:p>
    <w:p w14:paraId="4CB4C3C3" w14:textId="02E053CC" w:rsidR="00A31CAE" w:rsidRDefault="00805535">
      <w:pPr>
        <w:spacing w:line="260" w:lineRule="exact"/>
        <w:ind w:right="450"/>
        <w:jc w:val="both"/>
        <w:rPr>
          <w:rFonts w:ascii="Franklin Gothic Book" w:hAnsi="Franklin Gothic Book"/>
          <w:color w:val="000000"/>
          <w:sz w:val="22"/>
          <w:szCs w:val="22"/>
        </w:rPr>
      </w:pPr>
      <w:r>
        <w:rPr>
          <w:rFonts w:ascii="Franklin Gothic Book" w:hAnsi="Franklin Gothic Book"/>
          <w:color w:val="000000"/>
          <w:sz w:val="22"/>
          <w:szCs w:val="22"/>
        </w:rPr>
        <w:t>Ce communiqué de presse contient des déclarations prospectives au sens du Private Securities Litigation Reform Act américain de 1995, ainsi que des informations prospectives au sens de la Loi sur les valeurs mobilières en vigueur au Canada. Les déclarations prospectives peuvent inclure, sans toutefois s’y limiter, des déclarations concernant : la signature d’un accord engageant entre NioCorp et Stellantis concernant la transaction proposée, le cas échéant, ainsi que les conditions, modalités et avantages anticipés de la transaction proposée ; la possibilité pour Stellantis d’effectuer un investissement stratégique dans NioCorp ; la possibilité de concevoir des produits à base de terres rares pour le Projet Elk Creek Project ; la faisabilité technique et économique de séparer les oxydes de terres rares ; la perspective et la capacité de NioCorp de produire du niobium, du scandium et du titane via le Projet Elk Creek ; la capacité de NioCorp à obtenir un financement suffisant pour finaliser la construction du Projet Elk Creek et atteindre le stade de la production commerciale ; le prix futur des métaux ; et la stabilité des marchés boursiers et financiers. Ces déclarations prospectives peuvent souvent être identifiées par les mots « planifier », « croire », « s’attendre à », « anticiper », « prévoir », « perspectives », « estimer », « projections », « projet », « continuer », « pourrait », « peut », « susceptible de », « possible », « potentiel », « prédire », « devrait », « prévisions », ainsi que par d’autres termes et expressions similaires, toutefois l’absence de ces mots ne saurait signifier qu’une déclaration n’est pas prospective.</w:t>
      </w:r>
    </w:p>
    <w:p w14:paraId="72FB7187" w14:textId="5CFCB957" w:rsidR="00A31CAE" w:rsidRDefault="00A31CAE">
      <w:pPr>
        <w:spacing w:after="0" w:line="240" w:lineRule="auto"/>
        <w:rPr>
          <w:rFonts w:ascii="Franklin Gothic Book" w:hAnsi="Franklin Gothic Book"/>
          <w:color w:val="000000"/>
          <w:sz w:val="22"/>
          <w:szCs w:val="22"/>
        </w:rPr>
      </w:pPr>
    </w:p>
    <w:p w14:paraId="4DC6E7E1" w14:textId="77777777" w:rsidR="00805535" w:rsidRDefault="00805535" w:rsidP="007A48BE">
      <w:pPr>
        <w:spacing w:line="260" w:lineRule="exact"/>
        <w:ind w:right="450"/>
        <w:jc w:val="both"/>
        <w:rPr>
          <w:rFonts w:ascii="Franklin Gothic Book" w:eastAsiaTheme="minorHAnsi" w:hAnsi="Franklin Gothic Book" w:cstheme="minorBidi"/>
          <w:color w:val="000000"/>
          <w:kern w:val="36"/>
          <w:sz w:val="22"/>
          <w:szCs w:val="22"/>
          <w14:ligatures w14:val="standardContextual"/>
        </w:rPr>
      </w:pPr>
      <w:r>
        <w:rPr>
          <w:rFonts w:ascii="Franklin Gothic Book" w:hAnsi="Franklin Gothic Book"/>
          <w:color w:val="000000"/>
          <w:sz w:val="22"/>
          <w:szCs w:val="22"/>
        </w:rPr>
        <w:t xml:space="preserve">Ces déclarations prospectives sont basées sur les prévisions actuelles de la direction de NioCorp et sont par nature soumises à des incertitudes et des changements de circonstances ainsi qu’à leurs conséquences potentielles, et sont valables uniquement à la date des présentes. Nous ne pouvons en aucun cas garantir que les évolutions futures seront conformes à celles que nous avons anticipées. Les déclarations prospectives reflètent des prévisions et estimations concrètes, y compris, sans toutefois s’y limiter, des prévisions et estimations liées à : la capacité de NioCorp à conclure la transaction proposée, que ce soit à des conditions acceptables ou non ; la possibilité technique et économique de convertir le processus de démonstration à l’échelle afin de séparer les oxydes de grande pureté de plusieurs terres rares magnétiques des minerais que NioCorp prévoit d’extraire via son Projet Elk Creek ; le prix futur des métaux ; la stabilité des marchés boursiers et financiers ; et la réception de toutes les approbations réglementaires nécessaires en lien avec la transaction proposée. De telles prévisions et estimations sont par nature soumises à des incertitudes et éventualités concernant les événements futurs et sont, de fait, susceptibles de changer. Ces déclarations prospectives impliquent un certain nombre de risques, d’incertitudes ou d’autres facteurs susceptibles de faire varier sensiblement les performances ou les résultats réels par rapport à ceux exprimés ou impliqués dans les présentes déclarations prospectives. Ces risques et incertitudes incluent, sans toutefois s’y limiter, ceux évoqués et identifiés dans les documents publics déposés par NioCorp auprès de la SEC et des autorités canadiennes en valeurs mobilières concernées, ainsi que les suivants : la non signature du contrat engageant entre NioCorp et Stellantis en lien avec la transaction proposée, que ce soit à des conditions acceptables ou non ; la capacité de NioCorp à identifier les bénéfices anticipés du </w:t>
      </w:r>
      <w:r>
        <w:rPr>
          <w:rFonts w:ascii="Franklin Gothic Book" w:hAnsi="Franklin Gothic Book"/>
          <w:color w:val="000000"/>
          <w:sz w:val="22"/>
          <w:szCs w:val="22"/>
        </w:rPr>
        <w:lastRenderedPageBreak/>
        <w:t xml:space="preserve">rapprochement avec GX Acquisition Corp. II (le « Rapprochement ») et la promesse de cession d’actions (le « Contrat de financement par actions de Yorkville » et, avec le Rapprochement, les « Transactions ») à YA II PN, Ltd., un fonds d’investissement géré par Yorkville Advisors Global, LP, y compris la capacité de NioCorp à générer la totalité des bénéfices nets attendus dans le cadre du Contrat de financement par actions de Yorkville au cours des trois années à venir ; les coûts imprévus liés aux Transactions ; le résultat des éventuelles poursuites judiciaires susceptibles d’être intentées contre NioCorp après la finalisation des Transactions ; la capacité de NioCorp à recevoir un engagement de financement définitif de la part de l’Export-Import Bank of the United States dans les délais prévus, que ce soit à des conditions acceptables ou non ; la capacité de NioCorp à continuer de répondre aux normes d’inscription du Nasdaq Stock Market LLC ; la capacité de NioCorp à poursuivre normalement ses activités ; les risques liés aux actions ordinaires de NioCorp, y compris la volatilité des prix, le défaut de versement des dividendes et la réduction de la perception ou la probabilité de ce qui précède ; la nécessité pour NioCorp d’obtenir un capital supplémentaire significatif ; la mesure dans laquelle le niveau d’endettement de NioCorp et/ou les conditions incluses dans les accords régissant l’endettement de NioCorp ou le Contrat de financement par actions de Yorkville peut compromettre la capacité de NioCorp à obtenir un financement supplémentaire ; les clauses énoncées dans les contrats passés avec les créanciers garantis de NioCorp susceptibles d’affecter ses actifs ; l’historique opérationnel restreint de NioCorp ; l’historique des pertes de NioCorp ; le retraitement des états financiers consolidés de NioCorp à partir et pour les années fiscales clôturées le 30 juin 2022 et 2021 et les périodes intermédiaires clôturées le 30 septembre 2021, le 31 décembre 2021, le 31 mars 2022, le 30 septembre 2022 et le 31 décembre 2022, ainsi que l’impact dudit retraitement sur les états financiers à venir de NioCorp et autres mesures financières ; l’affaiblissement substantiel du contrôle interne de NioCorp sur les informations financières, les efforts de NioCorp pour corriger cet affaiblissement substantiel et le délai nécessaire à ladite correction ; la possibilité pour NioCorp de prétendre au statut de société étrangère d'investissement passif conformément à l’Internal Revenue Code américain de 1986, dans sa version modifiée (le « Code ») ; l’éventualité que les transactions entraînent pour NioCorp des conséquences majeures en matière d'impôt fédéral américain sur les revenus suite à l’application de la Section 7874 et des sections connexes du Code ; la hausse des coûts d’exploration pour NioCorp et, s’il y a lieu, des projets de développement ; une interruption ou une défaillance des systèmes de technologie de l’information de NioCorp, y compris en matière de cybersécurité ; une pénurie d’équipements et de fournitures ; les accords d’approvisionnement, les joint-ventures et les partenariats actuels et futurs ; la capacité de NioCorp à recruter des dirigeants qualifiés ; l’impact de la pandémie de COVID-19 ou d’autres crises sanitaires mondiales sur les business plans, les conditions financières et les liquidités de NioCorp ; l’estimation des réserves et ressources minérales ; les activités d’exploration et de production des minerais ; les résultats des études de faisabilité ; les résultats des tests métallurgiques ; les variations de la demande et des prix des denrées primaires (carburant, électricité etc.) et des devises ; la concurrence dans le secteur minier ; les changements ou les perturbations sur les marchés boursiers ; les évolutions législatives, politiques ou économiques, y compris les modifications des lois fédérales ou étatiques susceptibles d’affecter le secteur minier de manière significative ; les conséquences du changement climatique, ainsi que les mesures prises ou imposées par les gouvernements afin de renforcer la résilience face aux possibles conséquences du changement climatique ; la nécessité d’obtenir des autorisations et de respecter les lois et réglementations ainsi que toute autre exigence réglementaire ; le délai et la fiabilité des échantillonnages et des données de test ; l’éventualité que les résultats réels du travail entrepris diffèrent des projections/prévisions ou puissent ne pas confirmer le potentiel estimé des projets de NioCorp ; les risques d’accident, de panne de matériel et de conflits sociaux, ou toute autre difficulté ou interruption non prévue ; la possibilité de dépassement budgétaire ou de dépenses imprévues lors des programmes de développement ; les difficultés opérationnelles ou </w:t>
      </w:r>
      <w:r>
        <w:rPr>
          <w:rFonts w:ascii="Franklin Gothic Book" w:hAnsi="Franklin Gothic Book"/>
          <w:color w:val="000000"/>
          <w:sz w:val="22"/>
          <w:szCs w:val="22"/>
        </w:rPr>
        <w:lastRenderedPageBreak/>
        <w:t>techniques en lien avec les activités d’exploration, d’extraction ou de développement ; la gestion du bilan hydrique du site prévu pour le Projet Elk Creek ; les exigences de remise en état des sols en lien avec le Projet Elk Creek ; la nature spéculative de l’exploration et du développement des minerais, y compris les risques de diminution des quantités ou de la qualité des réserves et des ressources ; les revendications concernant les titres de propriété de NioCorp ; les futurs litiges potentiels ; et le défaut d’assurance pour couvrir l’ensemble des opérations de NioCorp.</w:t>
      </w:r>
    </w:p>
    <w:p w14:paraId="62BA8CFC" w14:textId="77777777" w:rsidR="00805535" w:rsidRDefault="00805535" w:rsidP="007A48BE">
      <w:pPr>
        <w:spacing w:line="260" w:lineRule="exact"/>
        <w:ind w:right="450"/>
        <w:jc w:val="both"/>
        <w:rPr>
          <w:rFonts w:ascii="Franklin Gothic Book" w:eastAsiaTheme="minorHAnsi" w:hAnsi="Franklin Gothic Book" w:cstheme="minorBidi"/>
          <w:color w:val="000000"/>
          <w:kern w:val="36"/>
          <w:sz w:val="22"/>
          <w:szCs w:val="22"/>
          <w14:ligatures w14:val="standardContextual"/>
        </w:rPr>
      </w:pPr>
      <w:r>
        <w:rPr>
          <w:rFonts w:ascii="Franklin Gothic Book" w:hAnsi="Franklin Gothic Book"/>
          <w:color w:val="000000"/>
          <w:sz w:val="22"/>
          <w:szCs w:val="22"/>
        </w:rPr>
        <w:t>Si un ou plusieurs de ces risques ou incertitudes devaient se matérialiser ou si l’une des estimations faites par la direction de NioCorp s’avérait incorrecte, les résultats réels pourraient différer sensiblement des prévisions énoncées dans les présentes déclarations prospectives.</w:t>
      </w:r>
    </w:p>
    <w:p w14:paraId="29BF8F1E" w14:textId="77777777" w:rsidR="00805535" w:rsidRDefault="00805535" w:rsidP="007A48BE">
      <w:pPr>
        <w:spacing w:line="260" w:lineRule="exact"/>
        <w:ind w:right="450"/>
        <w:jc w:val="both"/>
        <w:rPr>
          <w:rFonts w:ascii="Franklin Gothic Book" w:eastAsiaTheme="minorHAnsi" w:hAnsi="Franklin Gothic Book" w:cstheme="minorBidi"/>
          <w:color w:val="000000"/>
          <w:kern w:val="36"/>
          <w:sz w:val="22"/>
          <w:szCs w:val="22"/>
          <w14:ligatures w14:val="standardContextual"/>
        </w:rPr>
      </w:pPr>
      <w:r>
        <w:rPr>
          <w:rFonts w:ascii="Franklin Gothic Book" w:hAnsi="Franklin Gothic Book"/>
          <w:color w:val="000000"/>
          <w:sz w:val="22"/>
          <w:szCs w:val="22"/>
        </w:rPr>
        <w:t>Toutes les déclarations prospectives écrites ou orales ultérieures relatives aux questions visées par les présentes et attribuables à NioCorp ou à toute personne agissant en son nom sont expressément et intégralement couvertes par les avertissements contenus ou mentionnés dans le présent document. Sauf si la loi ou les réglementations en vigueur l’exigent, NioCorp ne prend aucun engagement de mettre à jour les présentes déclarations prospectives afin de refléter des événements ou des circonstances survenant après la date de ce document, ou la survenue d’événements imprévus.</w:t>
      </w:r>
    </w:p>
    <w:p w14:paraId="0E39BB5F" w14:textId="2C2E0E45" w:rsidR="00E305A9" w:rsidRPr="00EE4C73" w:rsidRDefault="00E305A9" w:rsidP="00805535">
      <w:pPr>
        <w:spacing w:after="0" w:line="240" w:lineRule="auto"/>
        <w:ind w:right="450"/>
        <w:rPr>
          <w:rFonts w:ascii="Franklin Gothic Book" w:eastAsiaTheme="minorHAnsi" w:hAnsi="Franklin Gothic Book" w:cs="Arial"/>
          <w:kern w:val="36"/>
          <w:sz w:val="22"/>
          <w:szCs w:val="22"/>
          <w14:ligatures w14:val="standardContextual"/>
        </w:rPr>
      </w:pPr>
    </w:p>
    <w:sectPr w:rsidR="00E305A9" w:rsidRPr="00EE4C73" w:rsidSect="00E305A9">
      <w:headerReference w:type="default" r:id="rId14"/>
      <w:head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8C76" w14:textId="77777777" w:rsidR="006B6F06" w:rsidRDefault="006B6F06" w:rsidP="00E305A9">
      <w:pPr>
        <w:spacing w:after="0" w:line="240" w:lineRule="auto"/>
      </w:pPr>
      <w:r>
        <w:separator/>
      </w:r>
    </w:p>
  </w:endnote>
  <w:endnote w:type="continuationSeparator" w:id="0">
    <w:p w14:paraId="09A0D789" w14:textId="77777777" w:rsidR="006B6F06" w:rsidRDefault="006B6F06" w:rsidP="00E3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4FF6" w14:textId="77777777" w:rsidR="006B6F06" w:rsidRDefault="006B6F06" w:rsidP="00E305A9">
      <w:pPr>
        <w:spacing w:after="0" w:line="240" w:lineRule="auto"/>
      </w:pPr>
      <w:r>
        <w:separator/>
      </w:r>
    </w:p>
  </w:footnote>
  <w:footnote w:type="continuationSeparator" w:id="0">
    <w:p w14:paraId="26555FD4" w14:textId="77777777" w:rsidR="006B6F06" w:rsidRDefault="006B6F06" w:rsidP="00E3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48AD" w14:textId="18C2C6DF" w:rsidR="00E305A9" w:rsidRDefault="00E305A9" w:rsidP="006C16CF">
    <w:pPr>
      <w:pStyle w:val="En-tte"/>
      <w:tabs>
        <w:tab w:val="clear" w:pos="4680"/>
        <w:tab w:val="clear" w:pos="9360"/>
        <w:tab w:val="left" w:pos="2797"/>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F2F" w14:textId="047B65A5" w:rsidR="00E305A9" w:rsidRDefault="00F51D6C" w:rsidP="006C16CF">
    <w:pPr>
      <w:pStyle w:val="En-tte"/>
      <w:jc w:val="right"/>
    </w:pPr>
    <w:r>
      <w:rPr>
        <w:noProof/>
      </w:rPr>
      <w:drawing>
        <wp:anchor distT="0" distB="0" distL="114300" distR="114300" simplePos="0" relativeHeight="251660288" behindDoc="0" locked="0" layoutInCell="1" allowOverlap="1" wp14:anchorId="220DE777" wp14:editId="766F27A8">
          <wp:simplePos x="0" y="0"/>
          <wp:positionH relativeFrom="column">
            <wp:posOffset>4133850</wp:posOffset>
          </wp:positionH>
          <wp:positionV relativeFrom="paragraph">
            <wp:posOffset>22225</wp:posOffset>
          </wp:positionV>
          <wp:extent cx="1276350" cy="7169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7169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0BBF73C" wp14:editId="54259D26">
          <wp:simplePos x="0" y="0"/>
          <wp:positionH relativeFrom="column">
            <wp:posOffset>-228600</wp:posOffset>
          </wp:positionH>
          <wp:positionV relativeFrom="paragraph">
            <wp:posOffset>6350</wp:posOffset>
          </wp:positionV>
          <wp:extent cx="2607945" cy="756285"/>
          <wp:effectExtent l="0" t="0" r="0" b="5715"/>
          <wp:wrapSquare wrapText="bothSides"/>
          <wp:docPr id="3" name="Picture 3" descr="Stellantis-Logo - SeQ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llantis-Logo - SeQent"/>
                  <pic:cNvPicPr>
                    <a:picLocks noChangeAspect="1" noChangeArrowheads="1"/>
                  </pic:cNvPicPr>
                </pic:nvPicPr>
                <pic:blipFill rotWithShape="1">
                  <a:blip r:embed="rId2">
                    <a:extLst>
                      <a:ext uri="{28A0092B-C50C-407E-A947-70E740481C1C}">
                        <a14:useLocalDpi xmlns:a14="http://schemas.microsoft.com/office/drawing/2010/main" val="0"/>
                      </a:ext>
                    </a:extLst>
                  </a:blip>
                  <a:srcRect t="21857" b="20085"/>
                  <a:stretch/>
                </pic:blipFill>
                <pic:spPr bwMode="auto">
                  <a:xfrm>
                    <a:off x="0" y="0"/>
                    <a:ext cx="2607945" cy="756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1526"/>
    <w:multiLevelType w:val="hybridMultilevel"/>
    <w:tmpl w:val="1872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B52F6C"/>
    <w:multiLevelType w:val="hybridMultilevel"/>
    <w:tmpl w:val="F680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446A8"/>
    <w:multiLevelType w:val="hybridMultilevel"/>
    <w:tmpl w:val="A57E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874478">
    <w:abstractNumId w:val="2"/>
  </w:num>
  <w:num w:numId="2" w16cid:durableId="1818915109">
    <w:abstractNumId w:val="1"/>
  </w:num>
  <w:num w:numId="3" w16cid:durableId="130843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01"/>
    <w:rsid w:val="000103AA"/>
    <w:rsid w:val="00043E73"/>
    <w:rsid w:val="000665C7"/>
    <w:rsid w:val="000861EF"/>
    <w:rsid w:val="00097600"/>
    <w:rsid w:val="000A0B52"/>
    <w:rsid w:val="000C02C9"/>
    <w:rsid w:val="000C2093"/>
    <w:rsid w:val="000C69B1"/>
    <w:rsid w:val="000C7D5E"/>
    <w:rsid w:val="000D3915"/>
    <w:rsid w:val="000E5AF4"/>
    <w:rsid w:val="000F6987"/>
    <w:rsid w:val="00101E55"/>
    <w:rsid w:val="001335F6"/>
    <w:rsid w:val="00146847"/>
    <w:rsid w:val="00180EB7"/>
    <w:rsid w:val="002014EF"/>
    <w:rsid w:val="002071EC"/>
    <w:rsid w:val="002144BF"/>
    <w:rsid w:val="00233D5B"/>
    <w:rsid w:val="00245996"/>
    <w:rsid w:val="002712B0"/>
    <w:rsid w:val="002864FE"/>
    <w:rsid w:val="002870A7"/>
    <w:rsid w:val="002B0471"/>
    <w:rsid w:val="002B2351"/>
    <w:rsid w:val="002D5D63"/>
    <w:rsid w:val="002D6E8D"/>
    <w:rsid w:val="002F2598"/>
    <w:rsid w:val="00303862"/>
    <w:rsid w:val="00306AE9"/>
    <w:rsid w:val="00317FDF"/>
    <w:rsid w:val="0035473C"/>
    <w:rsid w:val="00372D5A"/>
    <w:rsid w:val="00393530"/>
    <w:rsid w:val="003A0DAC"/>
    <w:rsid w:val="003B6FF9"/>
    <w:rsid w:val="003E13A0"/>
    <w:rsid w:val="00402905"/>
    <w:rsid w:val="0040741C"/>
    <w:rsid w:val="004346F9"/>
    <w:rsid w:val="00437B70"/>
    <w:rsid w:val="00443263"/>
    <w:rsid w:val="00451120"/>
    <w:rsid w:val="004518CE"/>
    <w:rsid w:val="004669F8"/>
    <w:rsid w:val="00470013"/>
    <w:rsid w:val="004716A0"/>
    <w:rsid w:val="004777C9"/>
    <w:rsid w:val="00493F91"/>
    <w:rsid w:val="004B3C5E"/>
    <w:rsid w:val="004C6765"/>
    <w:rsid w:val="004F226F"/>
    <w:rsid w:val="005123F7"/>
    <w:rsid w:val="0051717B"/>
    <w:rsid w:val="005216BD"/>
    <w:rsid w:val="00540908"/>
    <w:rsid w:val="005436DD"/>
    <w:rsid w:val="00574309"/>
    <w:rsid w:val="00595048"/>
    <w:rsid w:val="005A4E36"/>
    <w:rsid w:val="005B2699"/>
    <w:rsid w:val="005B55A5"/>
    <w:rsid w:val="005D07B9"/>
    <w:rsid w:val="005E3D9E"/>
    <w:rsid w:val="005E7E75"/>
    <w:rsid w:val="00627ADB"/>
    <w:rsid w:val="0069485F"/>
    <w:rsid w:val="006B16BA"/>
    <w:rsid w:val="006B6F06"/>
    <w:rsid w:val="006C16CF"/>
    <w:rsid w:val="00731262"/>
    <w:rsid w:val="007645F7"/>
    <w:rsid w:val="00775651"/>
    <w:rsid w:val="00783B71"/>
    <w:rsid w:val="00793ABB"/>
    <w:rsid w:val="007A48BE"/>
    <w:rsid w:val="007C7969"/>
    <w:rsid w:val="007E7B87"/>
    <w:rsid w:val="008035B5"/>
    <w:rsid w:val="00805535"/>
    <w:rsid w:val="00817B37"/>
    <w:rsid w:val="00851B86"/>
    <w:rsid w:val="0087703E"/>
    <w:rsid w:val="00897BA0"/>
    <w:rsid w:val="008A2B5B"/>
    <w:rsid w:val="008B6F15"/>
    <w:rsid w:val="008C6530"/>
    <w:rsid w:val="008D3B49"/>
    <w:rsid w:val="008D7F5E"/>
    <w:rsid w:val="00920A9C"/>
    <w:rsid w:val="00932228"/>
    <w:rsid w:val="009348B6"/>
    <w:rsid w:val="009659FD"/>
    <w:rsid w:val="009A5BD0"/>
    <w:rsid w:val="009D6401"/>
    <w:rsid w:val="009F04BB"/>
    <w:rsid w:val="00A10C94"/>
    <w:rsid w:val="00A22258"/>
    <w:rsid w:val="00A31CAE"/>
    <w:rsid w:val="00A40FE8"/>
    <w:rsid w:val="00A41541"/>
    <w:rsid w:val="00A466AB"/>
    <w:rsid w:val="00A72CBF"/>
    <w:rsid w:val="00A94627"/>
    <w:rsid w:val="00A97215"/>
    <w:rsid w:val="00AB1451"/>
    <w:rsid w:val="00AB4094"/>
    <w:rsid w:val="00AB4CA4"/>
    <w:rsid w:val="00AC43BD"/>
    <w:rsid w:val="00AE5CE5"/>
    <w:rsid w:val="00AE6174"/>
    <w:rsid w:val="00AF10DC"/>
    <w:rsid w:val="00B20912"/>
    <w:rsid w:val="00B3265D"/>
    <w:rsid w:val="00B44CCC"/>
    <w:rsid w:val="00B57BF5"/>
    <w:rsid w:val="00B63CAC"/>
    <w:rsid w:val="00B66ED0"/>
    <w:rsid w:val="00B73063"/>
    <w:rsid w:val="00BA0954"/>
    <w:rsid w:val="00BA106C"/>
    <w:rsid w:val="00BE0AEF"/>
    <w:rsid w:val="00BE6D0B"/>
    <w:rsid w:val="00C153CD"/>
    <w:rsid w:val="00C15EEF"/>
    <w:rsid w:val="00C32E62"/>
    <w:rsid w:val="00C345E8"/>
    <w:rsid w:val="00C378A1"/>
    <w:rsid w:val="00C520FD"/>
    <w:rsid w:val="00C762E2"/>
    <w:rsid w:val="00C87DD1"/>
    <w:rsid w:val="00C90F88"/>
    <w:rsid w:val="00C957C2"/>
    <w:rsid w:val="00CC190C"/>
    <w:rsid w:val="00CE2ABD"/>
    <w:rsid w:val="00D62D38"/>
    <w:rsid w:val="00D71249"/>
    <w:rsid w:val="00DB1C32"/>
    <w:rsid w:val="00DB7B1E"/>
    <w:rsid w:val="00DC5568"/>
    <w:rsid w:val="00DD4093"/>
    <w:rsid w:val="00DD568C"/>
    <w:rsid w:val="00DE26C3"/>
    <w:rsid w:val="00DF7306"/>
    <w:rsid w:val="00E07DBF"/>
    <w:rsid w:val="00E214B0"/>
    <w:rsid w:val="00E24FE0"/>
    <w:rsid w:val="00E305A9"/>
    <w:rsid w:val="00E33FC6"/>
    <w:rsid w:val="00E40A00"/>
    <w:rsid w:val="00E4271B"/>
    <w:rsid w:val="00E7255B"/>
    <w:rsid w:val="00E93BA6"/>
    <w:rsid w:val="00EB176B"/>
    <w:rsid w:val="00EB28F1"/>
    <w:rsid w:val="00EE4C73"/>
    <w:rsid w:val="00F0010C"/>
    <w:rsid w:val="00F222DA"/>
    <w:rsid w:val="00F44A32"/>
    <w:rsid w:val="00F46F28"/>
    <w:rsid w:val="00F51D6C"/>
    <w:rsid w:val="00F54F43"/>
    <w:rsid w:val="00F60E9E"/>
    <w:rsid w:val="00F85859"/>
    <w:rsid w:val="00F9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BA7E5"/>
  <w14:defaultImageDpi w14:val="32767"/>
  <w15:chartTrackingRefBased/>
  <w15:docId w15:val="{85FDC32C-9BB4-2846-9A2C-ADF90E86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6401"/>
    <w:pPr>
      <w:spacing w:after="200" w:line="276" w:lineRule="auto"/>
    </w:pPr>
    <w:rPr>
      <w:rFonts w:ascii="Times New Roman" w:eastAsia="Times New Roman" w:hAnsi="Times New Roman" w:cs="Times New Roman"/>
      <w:kern w:val="0"/>
      <w:sz w:val="20"/>
      <w14:ligatures w14:val="none"/>
    </w:rPr>
  </w:style>
  <w:style w:type="paragraph" w:styleId="Titre1">
    <w:name w:val="heading 1"/>
    <w:basedOn w:val="Normal"/>
    <w:next w:val="Corpsdetexte"/>
    <w:link w:val="Titre1Car"/>
    <w:uiPriority w:val="9"/>
    <w:qFormat/>
    <w:rsid w:val="009D6401"/>
    <w:pPr>
      <w:keepNext/>
      <w:pageBreakBefore/>
      <w:jc w:val="center"/>
      <w:outlineLvl w:val="0"/>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6401"/>
    <w:rPr>
      <w:rFonts w:ascii="Times New Roman" w:eastAsia="Times New Roman" w:hAnsi="Times New Roman" w:cs="Times New Roman"/>
      <w:b/>
      <w:caps/>
      <w:kern w:val="0"/>
      <w:sz w:val="20"/>
      <w:lang w:val="fr-FR"/>
      <w14:ligatures w14:val="none"/>
    </w:rPr>
  </w:style>
  <w:style w:type="character" w:customStyle="1" w:styleId="CorpsdetexteCar">
    <w:name w:val="Corps de texte Car"/>
    <w:basedOn w:val="Policepardfaut"/>
    <w:link w:val="Corpsdetexte"/>
    <w:uiPriority w:val="1"/>
    <w:rsid w:val="009D6401"/>
    <w:rPr>
      <w:sz w:val="20"/>
    </w:rPr>
  </w:style>
  <w:style w:type="paragraph" w:styleId="Corpsdetexte">
    <w:name w:val="Body Text"/>
    <w:basedOn w:val="Normal"/>
    <w:link w:val="CorpsdetexteCar"/>
    <w:uiPriority w:val="1"/>
    <w:qFormat/>
    <w:rsid w:val="009D6401"/>
    <w:pPr>
      <w:spacing w:before="240" w:after="240"/>
    </w:pPr>
    <w:rPr>
      <w:rFonts w:asciiTheme="minorHAnsi" w:eastAsiaTheme="minorHAnsi" w:hAnsiTheme="minorHAnsi" w:cstheme="minorBidi"/>
      <w:kern w:val="2"/>
      <w14:ligatures w14:val="standardContextual"/>
    </w:rPr>
  </w:style>
  <w:style w:type="character" w:customStyle="1" w:styleId="BodyTextChar1">
    <w:name w:val="Body Text Char1"/>
    <w:basedOn w:val="Policepardfaut"/>
    <w:uiPriority w:val="99"/>
    <w:semiHidden/>
    <w:rsid w:val="009D6401"/>
    <w:rPr>
      <w:rFonts w:ascii="Times New Roman" w:eastAsia="Times New Roman" w:hAnsi="Times New Roman" w:cs="Times New Roman"/>
      <w:kern w:val="0"/>
      <w:sz w:val="20"/>
      <w:lang w:val="fr-FR"/>
      <w14:ligatures w14:val="none"/>
    </w:rPr>
  </w:style>
  <w:style w:type="character" w:styleId="Lienhypertexte">
    <w:name w:val="Hyperlink"/>
    <w:basedOn w:val="Policepardfaut"/>
    <w:uiPriority w:val="99"/>
    <w:rsid w:val="009D6401"/>
    <w:rPr>
      <w:color w:val="0000FF"/>
      <w:sz w:val="20"/>
      <w:szCs w:val="24"/>
      <w:u w:val="single"/>
      <w:lang w:eastAsia="en-US"/>
    </w:rPr>
  </w:style>
  <w:style w:type="character" w:customStyle="1" w:styleId="NormalWebCar">
    <w:name w:val="Normal (Web) Car"/>
    <w:basedOn w:val="Policepardfaut"/>
    <w:link w:val="NormalWeb"/>
    <w:uiPriority w:val="99"/>
    <w:rsid w:val="009D6401"/>
    <w:rPr>
      <w:lang w:bidi="th-TH"/>
    </w:rPr>
  </w:style>
  <w:style w:type="character" w:styleId="lev">
    <w:name w:val="Strong"/>
    <w:basedOn w:val="Policepardfaut"/>
    <w:uiPriority w:val="22"/>
    <w:qFormat/>
    <w:rsid w:val="009D6401"/>
    <w:rPr>
      <w:b/>
      <w:bCs/>
      <w:lang w:eastAsia="en-US"/>
    </w:rPr>
  </w:style>
  <w:style w:type="paragraph" w:styleId="NormalWeb">
    <w:name w:val="Normal (Web)"/>
    <w:basedOn w:val="Normal"/>
    <w:link w:val="NormalWebCar"/>
    <w:uiPriority w:val="99"/>
    <w:unhideWhenUsed/>
    <w:rsid w:val="009D6401"/>
    <w:pPr>
      <w:spacing w:before="100" w:beforeAutospacing="1" w:after="100" w:afterAutospacing="1"/>
    </w:pPr>
    <w:rPr>
      <w:rFonts w:asciiTheme="minorHAnsi" w:eastAsiaTheme="minorHAnsi" w:hAnsiTheme="minorHAnsi" w:cstheme="minorBidi"/>
      <w:kern w:val="2"/>
      <w:sz w:val="24"/>
      <w:lang w:bidi="th-TH"/>
      <w14:ligatures w14:val="standardContextual"/>
    </w:rPr>
  </w:style>
  <w:style w:type="character" w:customStyle="1" w:styleId="apple-converted-space">
    <w:name w:val="apple-converted-space"/>
    <w:basedOn w:val="Policepardfaut"/>
    <w:rsid w:val="009D6401"/>
  </w:style>
  <w:style w:type="paragraph" w:styleId="Rvision">
    <w:name w:val="Revision"/>
    <w:hidden/>
    <w:uiPriority w:val="99"/>
    <w:semiHidden/>
    <w:rsid w:val="00A40FE8"/>
    <w:rPr>
      <w:rFonts w:ascii="Times New Roman" w:eastAsia="Times New Roman" w:hAnsi="Times New Roman" w:cs="Times New Roman"/>
      <w:kern w:val="0"/>
      <w:sz w:val="20"/>
      <w14:ligatures w14:val="none"/>
    </w:rPr>
  </w:style>
  <w:style w:type="character" w:styleId="Marquedecommentaire">
    <w:name w:val="annotation reference"/>
    <w:basedOn w:val="Policepardfaut"/>
    <w:uiPriority w:val="99"/>
    <w:semiHidden/>
    <w:unhideWhenUsed/>
    <w:rsid w:val="0051717B"/>
    <w:rPr>
      <w:sz w:val="16"/>
      <w:szCs w:val="16"/>
    </w:rPr>
  </w:style>
  <w:style w:type="paragraph" w:styleId="Commentaire">
    <w:name w:val="annotation text"/>
    <w:basedOn w:val="Normal"/>
    <w:link w:val="CommentaireCar"/>
    <w:uiPriority w:val="99"/>
    <w:unhideWhenUsed/>
    <w:rsid w:val="0051717B"/>
    <w:pPr>
      <w:spacing w:line="240" w:lineRule="auto"/>
    </w:pPr>
    <w:rPr>
      <w:szCs w:val="20"/>
    </w:rPr>
  </w:style>
  <w:style w:type="character" w:customStyle="1" w:styleId="CommentaireCar">
    <w:name w:val="Commentaire Car"/>
    <w:basedOn w:val="Policepardfaut"/>
    <w:link w:val="Commentaire"/>
    <w:uiPriority w:val="99"/>
    <w:rsid w:val="0051717B"/>
    <w:rPr>
      <w:rFonts w:ascii="Times New Roman" w:eastAsia="Times New Roman" w:hAnsi="Times New Roman" w:cs="Times New Roman"/>
      <w:kern w:val="0"/>
      <w:sz w:val="20"/>
      <w:szCs w:val="20"/>
      <w:lang w:val="fr-FR"/>
      <w14:ligatures w14:val="none"/>
    </w:rPr>
  </w:style>
  <w:style w:type="paragraph" w:styleId="Objetducommentaire">
    <w:name w:val="annotation subject"/>
    <w:basedOn w:val="Commentaire"/>
    <w:next w:val="Commentaire"/>
    <w:link w:val="ObjetducommentaireCar"/>
    <w:uiPriority w:val="99"/>
    <w:semiHidden/>
    <w:unhideWhenUsed/>
    <w:rsid w:val="0051717B"/>
    <w:rPr>
      <w:b/>
      <w:bCs/>
    </w:rPr>
  </w:style>
  <w:style w:type="character" w:customStyle="1" w:styleId="ObjetducommentaireCar">
    <w:name w:val="Objet du commentaire Car"/>
    <w:basedOn w:val="CommentaireCar"/>
    <w:link w:val="Objetducommentaire"/>
    <w:uiPriority w:val="99"/>
    <w:semiHidden/>
    <w:rsid w:val="0051717B"/>
    <w:rPr>
      <w:rFonts w:ascii="Times New Roman" w:eastAsia="Times New Roman" w:hAnsi="Times New Roman" w:cs="Times New Roman"/>
      <w:b/>
      <w:bCs/>
      <w:kern w:val="0"/>
      <w:sz w:val="20"/>
      <w:szCs w:val="20"/>
      <w:lang w:val="fr-FR"/>
      <w14:ligatures w14:val="none"/>
    </w:rPr>
  </w:style>
  <w:style w:type="character" w:customStyle="1" w:styleId="Mentionnonrsolue1">
    <w:name w:val="Mention non résolue1"/>
    <w:basedOn w:val="Policepardfaut"/>
    <w:uiPriority w:val="99"/>
    <w:rsid w:val="00E305A9"/>
    <w:rPr>
      <w:color w:val="605E5C"/>
      <w:shd w:val="clear" w:color="auto" w:fill="E1DFDD"/>
    </w:rPr>
  </w:style>
  <w:style w:type="paragraph" w:styleId="En-tte">
    <w:name w:val="header"/>
    <w:basedOn w:val="Normal"/>
    <w:link w:val="En-tteCar"/>
    <w:uiPriority w:val="99"/>
    <w:unhideWhenUsed/>
    <w:rsid w:val="00E305A9"/>
    <w:pPr>
      <w:tabs>
        <w:tab w:val="center" w:pos="4680"/>
        <w:tab w:val="right" w:pos="9360"/>
      </w:tabs>
      <w:spacing w:after="0" w:line="240" w:lineRule="auto"/>
    </w:pPr>
  </w:style>
  <w:style w:type="character" w:customStyle="1" w:styleId="En-tteCar">
    <w:name w:val="En-tête Car"/>
    <w:basedOn w:val="Policepardfaut"/>
    <w:link w:val="En-tte"/>
    <w:uiPriority w:val="99"/>
    <w:rsid w:val="00E305A9"/>
    <w:rPr>
      <w:rFonts w:ascii="Times New Roman" w:eastAsia="Times New Roman" w:hAnsi="Times New Roman" w:cs="Times New Roman"/>
      <w:kern w:val="0"/>
      <w:sz w:val="20"/>
      <w:lang w:val="fr-FR"/>
      <w14:ligatures w14:val="none"/>
    </w:rPr>
  </w:style>
  <w:style w:type="paragraph" w:styleId="Pieddepage">
    <w:name w:val="footer"/>
    <w:basedOn w:val="Normal"/>
    <w:link w:val="PieddepageCar"/>
    <w:uiPriority w:val="99"/>
    <w:unhideWhenUsed/>
    <w:rsid w:val="00E305A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305A9"/>
    <w:rPr>
      <w:rFonts w:ascii="Times New Roman" w:eastAsia="Times New Roman" w:hAnsi="Times New Roman" w:cs="Times New Roman"/>
      <w:kern w:val="0"/>
      <w:sz w:val="20"/>
      <w:lang w:val="fr-FR"/>
      <w14:ligatures w14:val="none"/>
    </w:rPr>
  </w:style>
  <w:style w:type="paragraph" w:customStyle="1" w:styleId="xmsonormal">
    <w:name w:val="xmsonormal"/>
    <w:basedOn w:val="Normal"/>
    <w:rsid w:val="00F54F43"/>
    <w:pPr>
      <w:spacing w:before="100" w:beforeAutospacing="1" w:after="100" w:afterAutospacing="1" w:line="240" w:lineRule="auto"/>
    </w:pPr>
    <w:rPr>
      <w:sz w:val="24"/>
    </w:rPr>
  </w:style>
  <w:style w:type="paragraph" w:styleId="Lgende">
    <w:name w:val="caption"/>
    <w:basedOn w:val="Normal"/>
    <w:next w:val="Normal"/>
    <w:uiPriority w:val="35"/>
    <w:unhideWhenUsed/>
    <w:qFormat/>
    <w:rsid w:val="00DF7306"/>
    <w:pPr>
      <w:spacing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F0010C"/>
    <w:rPr>
      <w:color w:val="954F72" w:themeColor="followedHyperlink"/>
      <w:u w:val="single"/>
    </w:rPr>
  </w:style>
  <w:style w:type="paragraph" w:styleId="Textedebulles">
    <w:name w:val="Balloon Text"/>
    <w:basedOn w:val="Normal"/>
    <w:link w:val="TextedebullesCar"/>
    <w:uiPriority w:val="99"/>
    <w:semiHidden/>
    <w:unhideWhenUsed/>
    <w:rsid w:val="00B57B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BF5"/>
    <w:rPr>
      <w:rFonts w:ascii="Segoe UI" w:eastAsia="Times New Roman" w:hAnsi="Segoe UI" w:cs="Segoe UI"/>
      <w:kern w:val="0"/>
      <w:sz w:val="18"/>
      <w:szCs w:val="18"/>
      <w:lang w:val="fr-FR"/>
      <w14:ligatures w14:val="none"/>
    </w:rPr>
  </w:style>
  <w:style w:type="character" w:customStyle="1" w:styleId="ui-provider">
    <w:name w:val="ui-provider"/>
    <w:basedOn w:val="Policepardfaut"/>
    <w:rsid w:val="00BE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24676">
      <w:bodyDiv w:val="1"/>
      <w:marLeft w:val="0"/>
      <w:marRight w:val="0"/>
      <w:marTop w:val="0"/>
      <w:marBottom w:val="0"/>
      <w:divBdr>
        <w:top w:val="none" w:sz="0" w:space="0" w:color="auto"/>
        <w:left w:val="none" w:sz="0" w:space="0" w:color="auto"/>
        <w:bottom w:val="none" w:sz="0" w:space="0" w:color="auto"/>
        <w:right w:val="none" w:sz="0" w:space="0" w:color="auto"/>
      </w:divBdr>
    </w:div>
    <w:div w:id="1957641373">
      <w:bodyDiv w:val="1"/>
      <w:marLeft w:val="0"/>
      <w:marRight w:val="0"/>
      <w:marTop w:val="0"/>
      <w:marBottom w:val="0"/>
      <w:divBdr>
        <w:top w:val="none" w:sz="0" w:space="0" w:color="auto"/>
        <w:left w:val="none" w:sz="0" w:space="0" w:color="auto"/>
        <w:bottom w:val="none" w:sz="0" w:space="0" w:color="auto"/>
        <w:right w:val="none" w:sz="0" w:space="0" w:color="auto"/>
      </w:divBdr>
    </w:div>
    <w:div w:id="20440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responsabilite/strategie-carbone-net-zero" TargetMode="External"/><Relationship Id="rId13" Type="http://schemas.openxmlformats.org/officeDocument/2006/relationships/hyperlink" Target="http://www.stellantis.com" TargetMode="External"/><Relationship Id="rId3" Type="http://schemas.openxmlformats.org/officeDocument/2006/relationships/settings" Target="settings.xml"/><Relationship Id="rId7" Type="http://schemas.openxmlformats.org/officeDocument/2006/relationships/hyperlink" Target="https://www.stellantis.com/fr" TargetMode="External"/><Relationship Id="rId12" Type="http://schemas.openxmlformats.org/officeDocument/2006/relationships/hyperlink" Target="mailto:jim.sims@niocor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llanti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mmunications@stellantis.com" TargetMode="External"/><Relationship Id="rId4" Type="http://schemas.openxmlformats.org/officeDocument/2006/relationships/webSettings" Target="webSettings.xml"/><Relationship Id="rId9" Type="http://schemas.openxmlformats.org/officeDocument/2006/relationships/hyperlink" Target="mailto:fernao.silveira@stellanti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3404</Words>
  <Characters>18723</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Nunn</dc:creator>
  <cp:keywords/>
  <dc:description/>
  <cp:lastModifiedBy>VANESSA GHUENASSIA</cp:lastModifiedBy>
  <cp:revision>2</cp:revision>
  <dcterms:created xsi:type="dcterms:W3CDTF">2023-07-06T15:09:00Z</dcterms:created>
  <dcterms:modified xsi:type="dcterms:W3CDTF">2023-07-06T15:09:00Z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2023-07-04T09:46:18Z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4aa475eb-4a9d-434e-9639-89b370191c6c</vt:lpwstr>
  </property>
  <property fmtid="{D5CDD505-2E9C-101B-9397-08002B2CF9AE}" pid="8" name="MSIP_Label_2fd53d93-3f4c-4b90-b511-bd6bdbb4fba9_ContentBits">
    <vt:lpwstr>0</vt:lpwstr>
  </property>
</Properties>
</file>