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1561" w14:textId="77777777" w:rsidR="0058020B" w:rsidRPr="00EB6019" w:rsidRDefault="0058020B" w:rsidP="00B069CA">
      <w:pPr>
        <w:pBdr>
          <w:top w:val="nil"/>
          <w:left w:val="nil"/>
          <w:bottom w:val="nil"/>
          <w:right w:val="nil"/>
          <w:between w:val="nil"/>
        </w:pBdr>
        <w:spacing w:after="480"/>
        <w:jc w:val="center"/>
        <w:rPr>
          <w:rFonts w:ascii="Arial" w:eastAsia="Arial" w:hAnsi="Arial" w:cs="Arial"/>
          <w:b/>
          <w:color w:val="000000"/>
          <w:sz w:val="12"/>
          <w:szCs w:val="12"/>
        </w:rPr>
      </w:pPr>
    </w:p>
    <w:p w14:paraId="5579DC97" w14:textId="5892B7EF" w:rsidR="00D90200" w:rsidRPr="00911ADD" w:rsidRDefault="00DA44D2" w:rsidP="00B069CA">
      <w:pPr>
        <w:pBdr>
          <w:top w:val="nil"/>
          <w:left w:val="nil"/>
          <w:bottom w:val="nil"/>
          <w:right w:val="nil"/>
          <w:between w:val="nil"/>
        </w:pBdr>
        <w:spacing w:after="480"/>
        <w:jc w:val="center"/>
        <w:rPr>
          <w:rFonts w:ascii="Arial" w:eastAsia="Arial" w:hAnsi="Arial" w:cs="Arial"/>
          <w:b/>
          <w:color w:val="000000"/>
          <w:sz w:val="28"/>
          <w:szCs w:val="28"/>
        </w:rPr>
      </w:pPr>
      <w:r w:rsidRPr="00C810D4">
        <w:rPr>
          <w:rFonts w:ascii="Arial" w:hAnsi="Arial"/>
          <w:b/>
          <w:color w:val="000000"/>
          <w:sz w:val="28"/>
        </w:rPr>
        <w:t>Stellantis signe</w:t>
      </w:r>
      <w:r w:rsidR="00C810D4" w:rsidRPr="00EB6019">
        <w:rPr>
          <w:rFonts w:ascii="Arial" w:hAnsi="Arial"/>
          <w:b/>
          <w:color w:val="000000"/>
          <w:sz w:val="28"/>
        </w:rPr>
        <w:t xml:space="preserve"> un accord et investit dans </w:t>
      </w:r>
      <w:proofErr w:type="spellStart"/>
      <w:r w:rsidR="005634BC" w:rsidRPr="00C810D4">
        <w:rPr>
          <w:rFonts w:ascii="Arial" w:hAnsi="Arial"/>
          <w:b/>
          <w:color w:val="000000"/>
          <w:sz w:val="28"/>
        </w:rPr>
        <w:t>Kuniko</w:t>
      </w:r>
      <w:proofErr w:type="spellEnd"/>
      <w:r w:rsidRPr="00C810D4">
        <w:rPr>
          <w:rFonts w:ascii="Arial" w:hAnsi="Arial"/>
          <w:b/>
          <w:color w:val="000000"/>
          <w:sz w:val="28"/>
        </w:rPr>
        <w:t xml:space="preserve"> pour l’approvisionnement en sulfate de nickel et de cobalt norvégiens à faible </w:t>
      </w:r>
      <w:r w:rsidR="00C810D4" w:rsidRPr="00EB6019">
        <w:rPr>
          <w:rFonts w:ascii="Arial" w:hAnsi="Arial"/>
          <w:b/>
          <w:color w:val="000000"/>
          <w:sz w:val="28"/>
        </w:rPr>
        <w:t>teneur</w:t>
      </w:r>
      <w:r w:rsidR="00C810D4" w:rsidRPr="00C810D4">
        <w:rPr>
          <w:rFonts w:ascii="Arial" w:hAnsi="Arial"/>
          <w:b/>
          <w:color w:val="000000"/>
          <w:sz w:val="28"/>
        </w:rPr>
        <w:t xml:space="preserve"> </w:t>
      </w:r>
      <w:r w:rsidRPr="00C810D4">
        <w:rPr>
          <w:rFonts w:ascii="Arial" w:hAnsi="Arial"/>
          <w:b/>
          <w:color w:val="000000"/>
          <w:sz w:val="28"/>
        </w:rPr>
        <w:t>en carbone</w:t>
      </w:r>
    </w:p>
    <w:p w14:paraId="3F106918" w14:textId="2E666800" w:rsidR="001E6F7D" w:rsidRDefault="001E6F7D" w:rsidP="001A2414">
      <w:pPr>
        <w:pStyle w:val="ListParagraph"/>
        <w:numPr>
          <w:ilvl w:val="0"/>
          <w:numId w:val="1"/>
        </w:numPr>
        <w:rPr>
          <w:rFonts w:ascii="Arial" w:eastAsia="Arial" w:hAnsi="Arial" w:cs="Arial"/>
          <w:sz w:val="22"/>
          <w:szCs w:val="22"/>
        </w:rPr>
      </w:pPr>
      <w:r>
        <w:rPr>
          <w:rFonts w:ascii="Arial" w:hAnsi="Arial"/>
          <w:sz w:val="22"/>
        </w:rPr>
        <w:t xml:space="preserve">Stellantis met en place un </w:t>
      </w:r>
      <w:r w:rsidR="00982B81">
        <w:rPr>
          <w:rFonts w:ascii="Arial" w:hAnsi="Arial"/>
          <w:sz w:val="22"/>
        </w:rPr>
        <w:t>pôle</w:t>
      </w:r>
      <w:r>
        <w:rPr>
          <w:rFonts w:ascii="Arial" w:hAnsi="Arial"/>
          <w:sz w:val="22"/>
        </w:rPr>
        <w:t xml:space="preserve"> européen </w:t>
      </w:r>
      <w:r w:rsidR="005634BC">
        <w:rPr>
          <w:rFonts w:ascii="Arial" w:hAnsi="Arial"/>
          <w:sz w:val="22"/>
        </w:rPr>
        <w:t>d</w:t>
      </w:r>
      <w:r w:rsidR="00982B81">
        <w:rPr>
          <w:rFonts w:ascii="Arial" w:hAnsi="Arial"/>
          <w:sz w:val="22"/>
        </w:rPr>
        <w:t xml:space="preserve">édié à l’approvisionnement en </w:t>
      </w:r>
      <w:r w:rsidR="005634BC">
        <w:rPr>
          <w:rFonts w:ascii="Arial" w:hAnsi="Arial"/>
          <w:sz w:val="22"/>
        </w:rPr>
        <w:t xml:space="preserve">matériaux pour </w:t>
      </w:r>
      <w:r w:rsidR="00185563">
        <w:rPr>
          <w:rFonts w:ascii="Arial" w:hAnsi="Arial"/>
          <w:sz w:val="22"/>
        </w:rPr>
        <w:t>batteries</w:t>
      </w:r>
      <w:r w:rsidR="0043382F">
        <w:rPr>
          <w:rFonts w:ascii="Arial" w:hAnsi="Arial"/>
          <w:sz w:val="22"/>
        </w:rPr>
        <w:t xml:space="preserve"> </w:t>
      </w:r>
      <w:r w:rsidR="00C810D4">
        <w:rPr>
          <w:rFonts w:ascii="Arial" w:hAnsi="Arial"/>
          <w:sz w:val="22"/>
        </w:rPr>
        <w:t>afin d’</w:t>
      </w:r>
      <w:r>
        <w:rPr>
          <w:rFonts w:ascii="Arial" w:hAnsi="Arial"/>
          <w:sz w:val="22"/>
        </w:rPr>
        <w:t xml:space="preserve">atteindre ses objectifs d’électrification </w:t>
      </w:r>
      <w:r w:rsidR="00982B81">
        <w:rPr>
          <w:rFonts w:ascii="Arial" w:hAnsi="Arial"/>
          <w:sz w:val="22"/>
        </w:rPr>
        <w:t>décri</w:t>
      </w:r>
      <w:r w:rsidR="0043382F">
        <w:rPr>
          <w:rFonts w:ascii="Arial" w:hAnsi="Arial"/>
          <w:sz w:val="22"/>
        </w:rPr>
        <w:t>ts</w:t>
      </w:r>
      <w:r w:rsidR="00982B81">
        <w:rPr>
          <w:rFonts w:ascii="Arial" w:hAnsi="Arial"/>
          <w:sz w:val="22"/>
        </w:rPr>
        <w:t xml:space="preserve"> dans </w:t>
      </w:r>
      <w:r>
        <w:rPr>
          <w:rFonts w:ascii="Arial" w:hAnsi="Arial"/>
          <w:sz w:val="22"/>
        </w:rPr>
        <w:t>Dare Forward 2030</w:t>
      </w:r>
    </w:p>
    <w:p w14:paraId="739C8832" w14:textId="5C232C86" w:rsidR="00594BD8" w:rsidRPr="0058020B" w:rsidRDefault="0043382F" w:rsidP="001A2414">
      <w:pPr>
        <w:pStyle w:val="ListParagraph"/>
        <w:numPr>
          <w:ilvl w:val="0"/>
          <w:numId w:val="1"/>
        </w:numPr>
        <w:rPr>
          <w:rFonts w:ascii="Arial" w:eastAsia="Arial" w:hAnsi="Arial" w:cs="Arial"/>
          <w:sz w:val="22"/>
          <w:szCs w:val="22"/>
        </w:rPr>
      </w:pPr>
      <w:r>
        <w:rPr>
          <w:rFonts w:ascii="Arial" w:hAnsi="Arial"/>
          <w:sz w:val="22"/>
        </w:rPr>
        <w:t xml:space="preserve">Les deux entreprises </w:t>
      </w:r>
      <w:r w:rsidR="00C810D4">
        <w:rPr>
          <w:rFonts w:ascii="Arial" w:hAnsi="Arial"/>
          <w:sz w:val="22"/>
        </w:rPr>
        <w:t>signent</w:t>
      </w:r>
      <w:r>
        <w:rPr>
          <w:rFonts w:ascii="Arial" w:hAnsi="Arial"/>
          <w:sz w:val="22"/>
        </w:rPr>
        <w:t xml:space="preserve"> l</w:t>
      </w:r>
      <w:r w:rsidR="00176A69">
        <w:rPr>
          <w:rFonts w:ascii="Arial" w:hAnsi="Arial"/>
          <w:sz w:val="22"/>
        </w:rPr>
        <w:t>es conditions d</w:t>
      </w:r>
      <w:r w:rsidR="00982B81">
        <w:rPr>
          <w:rFonts w:ascii="Arial" w:hAnsi="Arial"/>
          <w:sz w:val="22"/>
        </w:rPr>
        <w:t xml:space="preserve">’un </w:t>
      </w:r>
      <w:r w:rsidR="00176A69">
        <w:rPr>
          <w:rFonts w:ascii="Arial" w:hAnsi="Arial"/>
          <w:sz w:val="22"/>
        </w:rPr>
        <w:t xml:space="preserve">accord engageant </w:t>
      </w:r>
      <w:r w:rsidR="00982B81">
        <w:rPr>
          <w:rFonts w:ascii="Arial" w:hAnsi="Arial"/>
          <w:sz w:val="22"/>
        </w:rPr>
        <w:t>pour l’</w:t>
      </w:r>
      <w:r w:rsidR="00176A69">
        <w:rPr>
          <w:rFonts w:ascii="Arial" w:hAnsi="Arial"/>
          <w:sz w:val="22"/>
        </w:rPr>
        <w:t xml:space="preserve">approvisionnement en sulfate de nickel et de cobalt de qualité </w:t>
      </w:r>
      <w:r w:rsidR="00176A69" w:rsidRPr="0043382F">
        <w:rPr>
          <w:rFonts w:ascii="Arial" w:hAnsi="Arial"/>
          <w:sz w:val="22"/>
        </w:rPr>
        <w:t>batteri</w:t>
      </w:r>
      <w:r w:rsidR="00982B81" w:rsidRPr="0043382F">
        <w:rPr>
          <w:rFonts w:ascii="Arial" w:hAnsi="Arial"/>
          <w:sz w:val="22"/>
        </w:rPr>
        <w:t xml:space="preserve">e, </w:t>
      </w:r>
      <w:r w:rsidRPr="00EB6019">
        <w:rPr>
          <w:rFonts w:ascii="Arial" w:hAnsi="Arial"/>
          <w:sz w:val="22"/>
        </w:rPr>
        <w:t xml:space="preserve">issus </w:t>
      </w:r>
      <w:r w:rsidR="00176A69">
        <w:rPr>
          <w:rFonts w:ascii="Arial" w:hAnsi="Arial"/>
          <w:sz w:val="22"/>
        </w:rPr>
        <w:t xml:space="preserve">des projets de prospection de </w:t>
      </w:r>
      <w:proofErr w:type="spellStart"/>
      <w:r w:rsidR="00176A69">
        <w:rPr>
          <w:rFonts w:ascii="Arial" w:hAnsi="Arial"/>
          <w:sz w:val="22"/>
        </w:rPr>
        <w:t>Kuniko</w:t>
      </w:r>
      <w:proofErr w:type="spellEnd"/>
      <w:r w:rsidR="00176A69">
        <w:rPr>
          <w:rFonts w:ascii="Arial" w:hAnsi="Arial"/>
          <w:sz w:val="22"/>
        </w:rPr>
        <w:t xml:space="preserve"> en Norvège </w:t>
      </w:r>
    </w:p>
    <w:p w14:paraId="5721D522" w14:textId="6C4E5F19" w:rsidR="00594BD8" w:rsidRPr="0058020B" w:rsidRDefault="0043382F" w:rsidP="001A2414">
      <w:pPr>
        <w:pStyle w:val="ListParagraph"/>
        <w:numPr>
          <w:ilvl w:val="0"/>
          <w:numId w:val="1"/>
        </w:numPr>
        <w:rPr>
          <w:rFonts w:ascii="Arial" w:eastAsia="Arial" w:hAnsi="Arial" w:cs="Arial"/>
          <w:sz w:val="22"/>
          <w:szCs w:val="22"/>
        </w:rPr>
      </w:pPr>
      <w:r>
        <w:rPr>
          <w:rFonts w:ascii="Arial" w:hAnsi="Arial"/>
          <w:sz w:val="22"/>
        </w:rPr>
        <w:t xml:space="preserve">Cet </w:t>
      </w:r>
      <w:r w:rsidR="00594BD8">
        <w:rPr>
          <w:rFonts w:ascii="Arial" w:hAnsi="Arial"/>
          <w:sz w:val="22"/>
        </w:rPr>
        <w:t>accord porte</w:t>
      </w:r>
      <w:r>
        <w:rPr>
          <w:rFonts w:ascii="Arial" w:hAnsi="Arial"/>
          <w:sz w:val="22"/>
        </w:rPr>
        <w:t>ra</w:t>
      </w:r>
      <w:r w:rsidR="00594BD8">
        <w:rPr>
          <w:rFonts w:ascii="Arial" w:hAnsi="Arial"/>
          <w:sz w:val="22"/>
        </w:rPr>
        <w:t xml:space="preserve"> sur 35 % de la production annuelle à venir </w:t>
      </w:r>
      <w:r>
        <w:rPr>
          <w:rFonts w:ascii="Arial" w:hAnsi="Arial"/>
          <w:sz w:val="22"/>
        </w:rPr>
        <w:t xml:space="preserve">pour </w:t>
      </w:r>
      <w:r w:rsidR="00594BD8">
        <w:rPr>
          <w:rFonts w:ascii="Arial" w:hAnsi="Arial"/>
          <w:sz w:val="22"/>
        </w:rPr>
        <w:t xml:space="preserve">une durée de neuf ans </w:t>
      </w:r>
    </w:p>
    <w:p w14:paraId="47FA53A4" w14:textId="5371590B" w:rsidR="00D013CE" w:rsidRPr="00EB6019" w:rsidRDefault="00594BD8" w:rsidP="001A2414">
      <w:pPr>
        <w:pStyle w:val="ListParagraph"/>
        <w:numPr>
          <w:ilvl w:val="0"/>
          <w:numId w:val="1"/>
        </w:numPr>
        <w:spacing w:after="0"/>
        <w:rPr>
          <w:rFonts w:ascii="Arial" w:eastAsia="Arial" w:hAnsi="Arial" w:cs="Arial"/>
          <w:strike/>
          <w:sz w:val="22"/>
          <w:szCs w:val="22"/>
        </w:rPr>
      </w:pPr>
      <w:r>
        <w:rPr>
          <w:rFonts w:ascii="Arial" w:hAnsi="Arial"/>
          <w:sz w:val="22"/>
        </w:rPr>
        <w:t xml:space="preserve">Stellantis investit 5 millions d’euros (8 millions AUD) dans l’achat de nouvelles actions de la société </w:t>
      </w:r>
      <w:proofErr w:type="spellStart"/>
      <w:r>
        <w:rPr>
          <w:rFonts w:ascii="Arial" w:hAnsi="Arial"/>
          <w:sz w:val="22"/>
        </w:rPr>
        <w:t>Kuniko</w:t>
      </w:r>
      <w:proofErr w:type="spellEnd"/>
      <w:r>
        <w:rPr>
          <w:rFonts w:ascii="Arial" w:hAnsi="Arial"/>
          <w:sz w:val="22"/>
        </w:rPr>
        <w:t>, soit une participation de 19,99 %</w:t>
      </w:r>
    </w:p>
    <w:p w14:paraId="69678FB2" w14:textId="77777777" w:rsidR="00DA44D2" w:rsidRPr="0074366F" w:rsidRDefault="00DA44D2" w:rsidP="00594BD8">
      <w:pPr>
        <w:spacing w:after="0"/>
        <w:ind w:left="360"/>
        <w:jc w:val="left"/>
        <w:rPr>
          <w:rFonts w:ascii="Arial" w:eastAsia="Arial" w:hAnsi="Arial" w:cs="Arial"/>
        </w:rPr>
      </w:pPr>
    </w:p>
    <w:p w14:paraId="450086B1" w14:textId="6AF60983" w:rsidR="006D31D8" w:rsidRDefault="00105B05" w:rsidP="00EB6019">
      <w:pPr>
        <w:pBdr>
          <w:top w:val="nil"/>
          <w:left w:val="nil"/>
          <w:bottom w:val="nil"/>
          <w:right w:val="nil"/>
          <w:between w:val="nil"/>
        </w:pBdr>
        <w:rPr>
          <w:rFonts w:ascii="Arial" w:eastAsia="Arial" w:hAnsi="Arial" w:cs="Arial"/>
          <w:color w:val="000000"/>
          <w:sz w:val="22"/>
          <w:szCs w:val="22"/>
        </w:rPr>
      </w:pPr>
      <w:r>
        <w:rPr>
          <w:rFonts w:ascii="Arial" w:hAnsi="Arial"/>
          <w:b/>
          <w:color w:val="000000"/>
          <w:sz w:val="22"/>
        </w:rPr>
        <w:t>30 juin 2023, AMSTERDAM</w:t>
      </w:r>
      <w:r>
        <w:rPr>
          <w:rFonts w:ascii="Arial" w:hAnsi="Arial"/>
          <w:color w:val="000000"/>
          <w:sz w:val="22"/>
        </w:rPr>
        <w:t xml:space="preserve"> – </w:t>
      </w:r>
      <w:hyperlink r:id="rId12" w:history="1">
        <w:r>
          <w:rPr>
            <w:rStyle w:val="Hyperlink"/>
            <w:rFonts w:ascii="Arial" w:hAnsi="Arial"/>
            <w:sz w:val="22"/>
            <w:u w:val="single"/>
            <w:shd w:val="clear" w:color="auto" w:fill="FFFFFF"/>
          </w:rPr>
          <w:t>Stellantis N.V.</w:t>
        </w:r>
      </w:hyperlink>
      <w:r>
        <w:rPr>
          <w:rFonts w:ascii="Arial" w:hAnsi="Arial"/>
          <w:sz w:val="22"/>
          <w:shd w:val="clear" w:color="auto" w:fill="FFFFFF"/>
        </w:rPr>
        <w:t xml:space="preserve"> </w:t>
      </w:r>
      <w:r>
        <w:rPr>
          <w:rFonts w:ascii="Arial" w:hAnsi="Arial"/>
          <w:color w:val="000000"/>
          <w:sz w:val="22"/>
        </w:rPr>
        <w:t xml:space="preserve">et </w:t>
      </w:r>
      <w:proofErr w:type="spellStart"/>
      <w:r>
        <w:rPr>
          <w:rFonts w:ascii="Arial" w:hAnsi="Arial"/>
          <w:color w:val="000000"/>
          <w:sz w:val="22"/>
        </w:rPr>
        <w:t>Kuniko</w:t>
      </w:r>
      <w:proofErr w:type="spellEnd"/>
      <w:r>
        <w:rPr>
          <w:rFonts w:ascii="Arial" w:hAnsi="Arial"/>
          <w:color w:val="000000"/>
          <w:sz w:val="22"/>
        </w:rPr>
        <w:t xml:space="preserve"> Ltd (ASX : KNI, </w:t>
      </w:r>
      <w:proofErr w:type="spellStart"/>
      <w:r>
        <w:rPr>
          <w:rFonts w:ascii="Arial" w:hAnsi="Arial"/>
          <w:color w:val="000000"/>
          <w:sz w:val="22"/>
        </w:rPr>
        <w:t>Kuniko</w:t>
      </w:r>
      <w:proofErr w:type="spellEnd"/>
      <w:r>
        <w:rPr>
          <w:rFonts w:ascii="Arial" w:hAnsi="Arial"/>
          <w:color w:val="000000"/>
          <w:sz w:val="22"/>
        </w:rPr>
        <w:t>) annoncent aujourd’hui la signature des conditions d’</w:t>
      </w:r>
      <w:r w:rsidR="00982B81">
        <w:rPr>
          <w:rFonts w:ascii="Arial" w:hAnsi="Arial"/>
          <w:color w:val="000000"/>
          <w:sz w:val="22"/>
        </w:rPr>
        <w:t xml:space="preserve">un </w:t>
      </w:r>
      <w:r>
        <w:rPr>
          <w:rFonts w:ascii="Arial" w:hAnsi="Arial"/>
          <w:color w:val="000000"/>
          <w:sz w:val="22"/>
        </w:rPr>
        <w:t>accord engageant</w:t>
      </w:r>
      <w:r w:rsidR="00982B81">
        <w:rPr>
          <w:rFonts w:ascii="Arial" w:hAnsi="Arial"/>
          <w:color w:val="000000"/>
          <w:sz w:val="22"/>
        </w:rPr>
        <w:t xml:space="preserve"> </w:t>
      </w:r>
      <w:r w:rsidR="005A111B">
        <w:rPr>
          <w:rFonts w:ascii="Arial" w:hAnsi="Arial"/>
          <w:color w:val="000000"/>
          <w:sz w:val="22"/>
        </w:rPr>
        <w:t>concernant l</w:t>
      </w:r>
      <w:r w:rsidR="00982B81">
        <w:rPr>
          <w:rFonts w:ascii="Arial" w:hAnsi="Arial"/>
          <w:color w:val="000000"/>
          <w:sz w:val="22"/>
        </w:rPr>
        <w:t>’</w:t>
      </w:r>
      <w:r>
        <w:rPr>
          <w:rFonts w:ascii="Arial" w:hAnsi="Arial"/>
          <w:color w:val="000000"/>
          <w:sz w:val="22"/>
        </w:rPr>
        <w:t>approvisionnement</w:t>
      </w:r>
      <w:r w:rsidR="005A111B">
        <w:rPr>
          <w:rFonts w:ascii="Arial" w:hAnsi="Arial"/>
          <w:color w:val="000000"/>
          <w:sz w:val="22"/>
        </w:rPr>
        <w:t xml:space="preserve"> de sulfate de nickel et de cobalt. D’une durée </w:t>
      </w:r>
      <w:r>
        <w:rPr>
          <w:rFonts w:ascii="Arial" w:hAnsi="Arial"/>
          <w:color w:val="000000"/>
          <w:sz w:val="22"/>
        </w:rPr>
        <w:t>de neuf an</w:t>
      </w:r>
      <w:r w:rsidR="005A111B">
        <w:rPr>
          <w:rFonts w:ascii="Arial" w:hAnsi="Arial"/>
          <w:color w:val="000000"/>
          <w:sz w:val="22"/>
        </w:rPr>
        <w:t xml:space="preserve">s, il concernera </w:t>
      </w:r>
      <w:r>
        <w:rPr>
          <w:rFonts w:ascii="Arial" w:hAnsi="Arial"/>
          <w:color w:val="000000"/>
          <w:sz w:val="22"/>
        </w:rPr>
        <w:t xml:space="preserve">35 % de la </w:t>
      </w:r>
      <w:r w:rsidR="005A111B">
        <w:rPr>
          <w:rFonts w:ascii="Arial" w:hAnsi="Arial"/>
          <w:color w:val="000000"/>
          <w:sz w:val="22"/>
        </w:rPr>
        <w:t xml:space="preserve">future </w:t>
      </w:r>
      <w:r>
        <w:rPr>
          <w:rFonts w:ascii="Arial" w:hAnsi="Arial"/>
          <w:color w:val="000000"/>
          <w:sz w:val="22"/>
        </w:rPr>
        <w:t>production issu</w:t>
      </w:r>
      <w:r w:rsidR="005A111B">
        <w:rPr>
          <w:rFonts w:ascii="Arial" w:hAnsi="Arial"/>
          <w:color w:val="000000"/>
          <w:sz w:val="22"/>
        </w:rPr>
        <w:t>e</w:t>
      </w:r>
      <w:r>
        <w:rPr>
          <w:rFonts w:ascii="Arial" w:hAnsi="Arial"/>
          <w:color w:val="000000"/>
          <w:sz w:val="22"/>
        </w:rPr>
        <w:t xml:space="preserve"> des projets de prospection norvégiens de </w:t>
      </w:r>
      <w:proofErr w:type="spellStart"/>
      <w:r>
        <w:rPr>
          <w:rFonts w:ascii="Arial" w:hAnsi="Arial"/>
          <w:color w:val="000000"/>
          <w:sz w:val="22"/>
        </w:rPr>
        <w:t>Kuniko</w:t>
      </w:r>
      <w:proofErr w:type="spellEnd"/>
      <w:r>
        <w:rPr>
          <w:rFonts w:ascii="Arial" w:hAnsi="Arial"/>
          <w:color w:val="000000"/>
          <w:sz w:val="22"/>
        </w:rPr>
        <w:t xml:space="preserve">. </w:t>
      </w:r>
    </w:p>
    <w:p w14:paraId="403C04C6" w14:textId="0F7F90A6" w:rsidR="006D31D8" w:rsidRPr="00E241A7" w:rsidRDefault="006D31D8" w:rsidP="00EB6019">
      <w:pPr>
        <w:pBdr>
          <w:top w:val="nil"/>
          <w:left w:val="nil"/>
          <w:bottom w:val="nil"/>
          <w:right w:val="nil"/>
          <w:between w:val="nil"/>
        </w:pBdr>
        <w:rPr>
          <w:rFonts w:ascii="Arial" w:eastAsia="Arial" w:hAnsi="Arial" w:cs="Arial"/>
          <w:color w:val="000000"/>
          <w:sz w:val="22"/>
          <w:szCs w:val="22"/>
        </w:rPr>
      </w:pPr>
      <w:r>
        <w:rPr>
          <w:rFonts w:ascii="Arial" w:hAnsi="Arial"/>
          <w:color w:val="000000"/>
          <w:sz w:val="22"/>
        </w:rPr>
        <w:t xml:space="preserve">Stellantis a </w:t>
      </w:r>
      <w:r w:rsidR="005A111B">
        <w:rPr>
          <w:rFonts w:ascii="Arial" w:hAnsi="Arial"/>
          <w:color w:val="000000"/>
          <w:sz w:val="22"/>
        </w:rPr>
        <w:t xml:space="preserve">par ailleurs </w:t>
      </w:r>
      <w:r>
        <w:rPr>
          <w:rFonts w:ascii="Arial" w:hAnsi="Arial"/>
          <w:color w:val="000000"/>
          <w:sz w:val="22"/>
        </w:rPr>
        <w:t>convenu d’investir 5 millions </w:t>
      </w:r>
      <w:r w:rsidR="005634BC">
        <w:rPr>
          <w:rFonts w:ascii="Arial" w:hAnsi="Arial"/>
          <w:color w:val="000000"/>
          <w:sz w:val="22"/>
        </w:rPr>
        <w:t>d</w:t>
      </w:r>
      <w:r>
        <w:rPr>
          <w:rFonts w:ascii="Arial" w:hAnsi="Arial"/>
          <w:color w:val="000000"/>
          <w:sz w:val="22"/>
        </w:rPr>
        <w:t xml:space="preserve">’euros (8 millions AUD) dans l’achat de titres de la société </w:t>
      </w:r>
      <w:proofErr w:type="spellStart"/>
      <w:r>
        <w:rPr>
          <w:rFonts w:ascii="Arial" w:hAnsi="Arial"/>
          <w:color w:val="000000"/>
          <w:sz w:val="22"/>
        </w:rPr>
        <w:t>Kuniko</w:t>
      </w:r>
      <w:proofErr w:type="spellEnd"/>
      <w:r>
        <w:rPr>
          <w:rFonts w:ascii="Arial" w:hAnsi="Arial"/>
          <w:color w:val="000000"/>
          <w:sz w:val="22"/>
        </w:rPr>
        <w:t>, soit une participation de 19,99 % à la date de réalisation de l’opération et le droit de nommer un directeur</w:t>
      </w:r>
      <w:r w:rsidR="005634BC">
        <w:rPr>
          <w:rFonts w:ascii="Arial" w:hAnsi="Arial"/>
          <w:color w:val="000000"/>
          <w:sz w:val="22"/>
        </w:rPr>
        <w:t xml:space="preserve"> au </w:t>
      </w:r>
      <w:r>
        <w:rPr>
          <w:rFonts w:ascii="Arial" w:hAnsi="Arial"/>
          <w:color w:val="000000"/>
          <w:sz w:val="22"/>
        </w:rPr>
        <w:t xml:space="preserve">conseil d’administration de </w:t>
      </w:r>
      <w:proofErr w:type="spellStart"/>
      <w:r>
        <w:rPr>
          <w:rFonts w:ascii="Arial" w:hAnsi="Arial"/>
          <w:color w:val="000000"/>
          <w:sz w:val="22"/>
        </w:rPr>
        <w:t>Kuniko</w:t>
      </w:r>
      <w:proofErr w:type="spellEnd"/>
      <w:r>
        <w:rPr>
          <w:rFonts w:ascii="Arial" w:hAnsi="Arial"/>
          <w:color w:val="000000"/>
          <w:sz w:val="22"/>
        </w:rPr>
        <w:t>.</w:t>
      </w:r>
    </w:p>
    <w:p w14:paraId="598FFCEA" w14:textId="5554933B" w:rsidR="006D31D8" w:rsidRPr="00E241A7" w:rsidRDefault="006D31D8" w:rsidP="00EB6019">
      <w:pPr>
        <w:pBdr>
          <w:top w:val="nil"/>
          <w:left w:val="nil"/>
          <w:bottom w:val="nil"/>
          <w:right w:val="nil"/>
          <w:between w:val="nil"/>
        </w:pBdr>
        <w:rPr>
          <w:rFonts w:ascii="Arial" w:eastAsia="Arial" w:hAnsi="Arial" w:cs="Arial"/>
          <w:color w:val="000000"/>
          <w:sz w:val="22"/>
          <w:szCs w:val="22"/>
        </w:rPr>
      </w:pPr>
      <w:r w:rsidRPr="00EA4C80">
        <w:rPr>
          <w:rFonts w:ascii="Arial" w:hAnsi="Arial"/>
          <w:color w:val="000000"/>
          <w:sz w:val="22"/>
        </w:rPr>
        <w:t xml:space="preserve">« Nous nous engageons sur une voie ambitieuse </w:t>
      </w:r>
      <w:r w:rsidR="00C810D4">
        <w:rPr>
          <w:rFonts w:ascii="Arial" w:hAnsi="Arial"/>
          <w:color w:val="000000"/>
          <w:sz w:val="22"/>
        </w:rPr>
        <w:t>pour</w:t>
      </w:r>
      <w:r w:rsidRPr="00EA4C80">
        <w:rPr>
          <w:rFonts w:ascii="Arial" w:hAnsi="Arial"/>
          <w:color w:val="000000"/>
          <w:sz w:val="22"/>
        </w:rPr>
        <w:t xml:space="preserve"> garantir un portefeuille complet de matières premières nécessaires </w:t>
      </w:r>
      <w:r w:rsidR="005A111B">
        <w:rPr>
          <w:rFonts w:ascii="Arial" w:hAnsi="Arial"/>
          <w:color w:val="000000"/>
          <w:sz w:val="22"/>
        </w:rPr>
        <w:t xml:space="preserve">à l’atteinte des </w:t>
      </w:r>
      <w:r w:rsidR="005634BC">
        <w:rPr>
          <w:rFonts w:ascii="Arial" w:hAnsi="Arial"/>
          <w:color w:val="000000"/>
          <w:sz w:val="22"/>
        </w:rPr>
        <w:t xml:space="preserve">objectifs d’électrification </w:t>
      </w:r>
      <w:r w:rsidR="005A111B">
        <w:rPr>
          <w:rFonts w:ascii="Arial" w:hAnsi="Arial"/>
          <w:color w:val="000000"/>
          <w:sz w:val="22"/>
        </w:rPr>
        <w:t>du</w:t>
      </w:r>
      <w:r w:rsidR="005634BC">
        <w:rPr>
          <w:rFonts w:ascii="Arial" w:hAnsi="Arial"/>
          <w:color w:val="000000"/>
          <w:sz w:val="22"/>
        </w:rPr>
        <w:t xml:space="preserve"> plan </w:t>
      </w:r>
      <w:r w:rsidRPr="00EA4C80">
        <w:rPr>
          <w:rFonts w:ascii="Arial" w:hAnsi="Arial"/>
          <w:color w:val="000000"/>
          <w:sz w:val="22"/>
        </w:rPr>
        <w:t>Dare </w:t>
      </w:r>
      <w:proofErr w:type="spellStart"/>
      <w:r w:rsidRPr="00EA4C80">
        <w:rPr>
          <w:rFonts w:ascii="Arial" w:hAnsi="Arial"/>
          <w:color w:val="000000"/>
          <w:sz w:val="22"/>
        </w:rPr>
        <w:t>Forward</w:t>
      </w:r>
      <w:proofErr w:type="spellEnd"/>
      <w:r w:rsidRPr="00EA4C80">
        <w:rPr>
          <w:rFonts w:ascii="Arial" w:hAnsi="Arial"/>
          <w:color w:val="000000"/>
          <w:sz w:val="22"/>
        </w:rPr>
        <w:t> 2030</w:t>
      </w:r>
      <w:r w:rsidR="008F6282">
        <w:rPr>
          <w:rFonts w:ascii="Arial" w:hAnsi="Arial"/>
          <w:color w:val="000000"/>
          <w:sz w:val="22"/>
        </w:rPr>
        <w:t>,</w:t>
      </w:r>
      <w:r w:rsidR="008F6282" w:rsidRPr="00EA4C80">
        <w:rPr>
          <w:rFonts w:ascii="Arial" w:hAnsi="Arial"/>
          <w:color w:val="000000"/>
          <w:sz w:val="22"/>
        </w:rPr>
        <w:t> </w:t>
      </w:r>
      <w:r w:rsidRPr="00EA4C80">
        <w:rPr>
          <w:rFonts w:ascii="Arial" w:hAnsi="Arial"/>
          <w:color w:val="000000"/>
          <w:sz w:val="22"/>
        </w:rPr>
        <w:t xml:space="preserve">» a déclaré </w:t>
      </w:r>
      <w:r w:rsidRPr="00EB6019">
        <w:rPr>
          <w:rFonts w:ascii="Arial" w:hAnsi="Arial"/>
          <w:color w:val="000000"/>
          <w:sz w:val="22"/>
        </w:rPr>
        <w:t xml:space="preserve">Maxime Picat, </w:t>
      </w:r>
      <w:proofErr w:type="spellStart"/>
      <w:r w:rsidRPr="00EB6019">
        <w:rPr>
          <w:rFonts w:ascii="Arial" w:hAnsi="Arial"/>
          <w:color w:val="000000"/>
          <w:sz w:val="22"/>
        </w:rPr>
        <w:t>Stellantis</w:t>
      </w:r>
      <w:proofErr w:type="spellEnd"/>
      <w:r w:rsidRPr="00EB6019">
        <w:rPr>
          <w:rFonts w:ascii="Arial" w:hAnsi="Arial"/>
          <w:color w:val="000000"/>
          <w:sz w:val="22"/>
        </w:rPr>
        <w:t xml:space="preserve"> Chief </w:t>
      </w:r>
      <w:proofErr w:type="spellStart"/>
      <w:r w:rsidRPr="00EB6019">
        <w:rPr>
          <w:rFonts w:ascii="Arial" w:hAnsi="Arial"/>
          <w:color w:val="000000"/>
          <w:sz w:val="22"/>
        </w:rPr>
        <w:t>Purchasing</w:t>
      </w:r>
      <w:proofErr w:type="spellEnd"/>
      <w:r w:rsidRPr="00EB6019">
        <w:rPr>
          <w:rFonts w:ascii="Arial" w:hAnsi="Arial"/>
          <w:color w:val="000000"/>
          <w:sz w:val="22"/>
        </w:rPr>
        <w:t xml:space="preserve"> and </w:t>
      </w:r>
      <w:proofErr w:type="spellStart"/>
      <w:r w:rsidRPr="00EB6019">
        <w:rPr>
          <w:rFonts w:ascii="Arial" w:hAnsi="Arial"/>
          <w:color w:val="000000"/>
          <w:sz w:val="22"/>
        </w:rPr>
        <w:t>Supply</w:t>
      </w:r>
      <w:proofErr w:type="spellEnd"/>
      <w:r w:rsidRPr="00EB6019">
        <w:rPr>
          <w:rFonts w:ascii="Arial" w:hAnsi="Arial"/>
          <w:color w:val="000000"/>
          <w:sz w:val="22"/>
        </w:rPr>
        <w:t xml:space="preserve"> Chain </w:t>
      </w:r>
      <w:proofErr w:type="spellStart"/>
      <w:r w:rsidRPr="00EB6019">
        <w:rPr>
          <w:rFonts w:ascii="Arial" w:hAnsi="Arial"/>
          <w:color w:val="000000"/>
          <w:sz w:val="22"/>
        </w:rPr>
        <w:t>Officer</w:t>
      </w:r>
      <w:proofErr w:type="spellEnd"/>
      <w:r w:rsidRPr="00EB6019">
        <w:rPr>
          <w:rFonts w:ascii="Arial" w:hAnsi="Arial"/>
          <w:color w:val="000000"/>
          <w:sz w:val="22"/>
        </w:rPr>
        <w:t>.</w:t>
      </w:r>
      <w:r w:rsidRPr="00EA4C80">
        <w:rPr>
          <w:rFonts w:ascii="Arial" w:hAnsi="Arial"/>
          <w:color w:val="000000"/>
          <w:sz w:val="22"/>
        </w:rPr>
        <w:t xml:space="preserve"> « Avec </w:t>
      </w:r>
      <w:proofErr w:type="spellStart"/>
      <w:r w:rsidRPr="00EA4C80">
        <w:rPr>
          <w:rFonts w:ascii="Arial" w:hAnsi="Arial"/>
          <w:color w:val="000000"/>
          <w:sz w:val="22"/>
        </w:rPr>
        <w:t>Kuniko</w:t>
      </w:r>
      <w:proofErr w:type="spellEnd"/>
      <w:r w:rsidRPr="00EA4C80">
        <w:rPr>
          <w:rFonts w:ascii="Arial" w:hAnsi="Arial"/>
          <w:color w:val="000000"/>
          <w:sz w:val="22"/>
        </w:rPr>
        <w:t xml:space="preserve"> et ses projets en Norvège,</w:t>
      </w:r>
      <w:r>
        <w:rPr>
          <w:rFonts w:ascii="Arial" w:hAnsi="Arial"/>
          <w:color w:val="000000"/>
          <w:sz w:val="22"/>
        </w:rPr>
        <w:t xml:space="preserve"> nous </w:t>
      </w:r>
      <w:r w:rsidR="001A2414">
        <w:rPr>
          <w:rFonts w:ascii="Arial" w:hAnsi="Arial"/>
          <w:color w:val="000000"/>
          <w:sz w:val="22"/>
        </w:rPr>
        <w:t>disposons d’un levier supplémentaire</w:t>
      </w:r>
      <w:r w:rsidR="0085102D">
        <w:rPr>
          <w:rFonts w:ascii="Arial" w:hAnsi="Arial"/>
          <w:color w:val="000000"/>
          <w:sz w:val="22"/>
        </w:rPr>
        <w:t xml:space="preserve"> </w:t>
      </w:r>
      <w:r w:rsidR="005634BC">
        <w:rPr>
          <w:rFonts w:ascii="Arial" w:hAnsi="Arial"/>
          <w:color w:val="000000"/>
          <w:sz w:val="22"/>
        </w:rPr>
        <w:t xml:space="preserve">pour </w:t>
      </w:r>
      <w:r w:rsidR="005A111B">
        <w:rPr>
          <w:rFonts w:ascii="Arial" w:hAnsi="Arial"/>
          <w:color w:val="000000"/>
          <w:sz w:val="22"/>
        </w:rPr>
        <w:t>répondre</w:t>
      </w:r>
      <w:r w:rsidR="005634BC">
        <w:rPr>
          <w:rFonts w:ascii="Arial" w:hAnsi="Arial"/>
          <w:color w:val="000000"/>
          <w:sz w:val="22"/>
        </w:rPr>
        <w:t xml:space="preserve"> </w:t>
      </w:r>
      <w:r w:rsidR="0085102D">
        <w:rPr>
          <w:rFonts w:ascii="Arial" w:hAnsi="Arial"/>
          <w:color w:val="000000"/>
          <w:sz w:val="22"/>
        </w:rPr>
        <w:t>à nos</w:t>
      </w:r>
      <w:r>
        <w:rPr>
          <w:rFonts w:ascii="Arial" w:hAnsi="Arial"/>
          <w:color w:val="000000"/>
          <w:sz w:val="22"/>
        </w:rPr>
        <w:t xml:space="preserve"> besoins </w:t>
      </w:r>
      <w:r w:rsidR="0085102D">
        <w:rPr>
          <w:rFonts w:ascii="Arial" w:hAnsi="Arial"/>
          <w:color w:val="000000"/>
          <w:sz w:val="22"/>
        </w:rPr>
        <w:t>en</w:t>
      </w:r>
      <w:r>
        <w:rPr>
          <w:rFonts w:ascii="Arial" w:hAnsi="Arial"/>
          <w:color w:val="000000"/>
          <w:sz w:val="22"/>
        </w:rPr>
        <w:t xml:space="preserve"> batteries européennes,</w:t>
      </w:r>
      <w:r w:rsidR="005A111B">
        <w:rPr>
          <w:rFonts w:ascii="Arial" w:hAnsi="Arial"/>
          <w:color w:val="000000"/>
          <w:sz w:val="22"/>
        </w:rPr>
        <w:t xml:space="preserve"> et ce</w:t>
      </w:r>
      <w:r>
        <w:rPr>
          <w:rFonts w:ascii="Arial" w:hAnsi="Arial"/>
          <w:color w:val="000000"/>
          <w:sz w:val="22"/>
        </w:rPr>
        <w:t xml:space="preserve"> </w:t>
      </w:r>
      <w:r w:rsidR="0085102D">
        <w:rPr>
          <w:rFonts w:ascii="Arial" w:hAnsi="Arial"/>
          <w:color w:val="000000"/>
          <w:sz w:val="22"/>
        </w:rPr>
        <w:t>grâce à</w:t>
      </w:r>
      <w:r>
        <w:rPr>
          <w:rFonts w:ascii="Arial" w:hAnsi="Arial"/>
          <w:color w:val="000000"/>
          <w:sz w:val="22"/>
        </w:rPr>
        <w:t xml:space="preserve"> une solution locale respectueuse de l’environnement. »</w:t>
      </w:r>
    </w:p>
    <w:p w14:paraId="03E686D0" w14:textId="28A122FD" w:rsidR="006D31D8" w:rsidRPr="00E241A7" w:rsidRDefault="006D31D8" w:rsidP="00EB6019">
      <w:pPr>
        <w:pBdr>
          <w:top w:val="nil"/>
          <w:left w:val="nil"/>
          <w:bottom w:val="nil"/>
          <w:right w:val="nil"/>
          <w:between w:val="nil"/>
        </w:pBdr>
        <w:rPr>
          <w:rFonts w:ascii="Arial" w:eastAsia="Arial" w:hAnsi="Arial" w:cs="Arial"/>
          <w:color w:val="000000"/>
          <w:sz w:val="22"/>
          <w:szCs w:val="22"/>
        </w:rPr>
      </w:pPr>
      <w:r>
        <w:rPr>
          <w:rFonts w:ascii="Arial" w:hAnsi="Arial"/>
          <w:color w:val="000000"/>
          <w:sz w:val="22"/>
        </w:rPr>
        <w:t xml:space="preserve">« Ce partenariat stratégique avec Stellantis </w:t>
      </w:r>
      <w:r w:rsidR="005A111B">
        <w:rPr>
          <w:rFonts w:ascii="Arial" w:hAnsi="Arial"/>
          <w:color w:val="000000"/>
          <w:sz w:val="22"/>
        </w:rPr>
        <w:t xml:space="preserve">soutient </w:t>
      </w:r>
      <w:r w:rsidR="0085102D">
        <w:rPr>
          <w:rFonts w:ascii="Arial" w:hAnsi="Arial"/>
          <w:color w:val="000000"/>
          <w:sz w:val="22"/>
        </w:rPr>
        <w:t xml:space="preserve">des </w:t>
      </w:r>
      <w:r>
        <w:rPr>
          <w:rFonts w:ascii="Arial" w:hAnsi="Arial"/>
          <w:color w:val="000000"/>
          <w:sz w:val="22"/>
        </w:rPr>
        <w:t xml:space="preserve">solutions durables </w:t>
      </w:r>
      <w:r w:rsidR="0085102D">
        <w:rPr>
          <w:rFonts w:ascii="Arial" w:hAnsi="Arial"/>
          <w:color w:val="000000"/>
          <w:sz w:val="22"/>
        </w:rPr>
        <w:t>pour</w:t>
      </w:r>
      <w:r>
        <w:rPr>
          <w:rFonts w:ascii="Arial" w:hAnsi="Arial"/>
          <w:color w:val="000000"/>
          <w:sz w:val="22"/>
        </w:rPr>
        <w:t xml:space="preserve"> la chaîne de valeur des batteries européennes et valide le potentiel de notre portefeuille de projets de métaux pour batteries en Norvège</w:t>
      </w:r>
      <w:r w:rsidR="008F6282">
        <w:rPr>
          <w:rFonts w:ascii="Arial" w:hAnsi="Arial"/>
          <w:color w:val="000000"/>
          <w:sz w:val="22"/>
        </w:rPr>
        <w:t>, </w:t>
      </w:r>
      <w:r>
        <w:rPr>
          <w:rFonts w:ascii="Arial" w:hAnsi="Arial"/>
          <w:color w:val="000000"/>
          <w:sz w:val="22"/>
        </w:rPr>
        <w:t xml:space="preserve">» a déclaré Antony </w:t>
      </w:r>
      <w:proofErr w:type="spellStart"/>
      <w:r>
        <w:rPr>
          <w:rFonts w:ascii="Arial" w:hAnsi="Arial"/>
          <w:color w:val="000000"/>
          <w:sz w:val="22"/>
        </w:rPr>
        <w:t>Beckmand</w:t>
      </w:r>
      <w:proofErr w:type="spellEnd"/>
      <w:r>
        <w:rPr>
          <w:rFonts w:ascii="Arial" w:hAnsi="Arial"/>
          <w:color w:val="000000"/>
          <w:sz w:val="22"/>
        </w:rPr>
        <w:t xml:space="preserve">, CEO de </w:t>
      </w:r>
      <w:proofErr w:type="spellStart"/>
      <w:r>
        <w:rPr>
          <w:rFonts w:ascii="Arial" w:hAnsi="Arial"/>
          <w:color w:val="000000"/>
          <w:sz w:val="22"/>
        </w:rPr>
        <w:t>Kuniko</w:t>
      </w:r>
      <w:proofErr w:type="spellEnd"/>
      <w:r>
        <w:rPr>
          <w:rFonts w:ascii="Arial" w:hAnsi="Arial"/>
          <w:color w:val="000000"/>
          <w:sz w:val="22"/>
        </w:rPr>
        <w:t xml:space="preserve">. « Nous sommes impatients de </w:t>
      </w:r>
      <w:r w:rsidR="005A111B">
        <w:rPr>
          <w:rFonts w:ascii="Arial" w:hAnsi="Arial"/>
          <w:color w:val="000000"/>
          <w:sz w:val="22"/>
        </w:rPr>
        <w:t xml:space="preserve">travailler main dans la main </w:t>
      </w:r>
      <w:r>
        <w:rPr>
          <w:rFonts w:ascii="Arial" w:hAnsi="Arial"/>
          <w:color w:val="000000"/>
          <w:sz w:val="22"/>
        </w:rPr>
        <w:t xml:space="preserve">avec Stellantis pour réussir la phase de prospection, passer à la production </w:t>
      </w:r>
      <w:r w:rsidR="0043382F">
        <w:rPr>
          <w:rFonts w:ascii="Arial" w:hAnsi="Arial"/>
          <w:color w:val="000000"/>
          <w:sz w:val="22"/>
        </w:rPr>
        <w:t>puis</w:t>
      </w:r>
      <w:r>
        <w:rPr>
          <w:rFonts w:ascii="Arial" w:hAnsi="Arial"/>
          <w:color w:val="000000"/>
          <w:sz w:val="22"/>
        </w:rPr>
        <w:t xml:space="preserve"> contribuer de manière significative à la croissance et au développement du secteur des batteries européennes. »</w:t>
      </w:r>
    </w:p>
    <w:p w14:paraId="3DCE78F5" w14:textId="1803EC82" w:rsidR="006D31D8" w:rsidRDefault="006D31D8" w:rsidP="001A2414">
      <w:pPr>
        <w:pBdr>
          <w:top w:val="nil"/>
          <w:left w:val="nil"/>
          <w:bottom w:val="nil"/>
          <w:right w:val="nil"/>
          <w:between w:val="nil"/>
        </w:pBdr>
        <w:rPr>
          <w:rFonts w:ascii="Arial" w:hAnsi="Arial"/>
          <w:color w:val="000000"/>
          <w:sz w:val="22"/>
        </w:rPr>
      </w:pPr>
      <w:r>
        <w:rPr>
          <w:rFonts w:ascii="Arial" w:hAnsi="Arial"/>
          <w:color w:val="000000"/>
          <w:sz w:val="22"/>
        </w:rPr>
        <w:t>Les fonds</w:t>
      </w:r>
      <w:r w:rsidR="005634BC">
        <w:rPr>
          <w:rFonts w:ascii="Arial" w:hAnsi="Arial"/>
          <w:color w:val="000000"/>
          <w:sz w:val="22"/>
        </w:rPr>
        <w:t xml:space="preserve"> provenant de </w:t>
      </w:r>
      <w:r>
        <w:rPr>
          <w:rFonts w:ascii="Arial" w:hAnsi="Arial"/>
          <w:color w:val="000000"/>
          <w:sz w:val="22"/>
        </w:rPr>
        <w:t xml:space="preserve">l’achat de titres seront </w:t>
      </w:r>
      <w:r w:rsidR="00EA4C80">
        <w:rPr>
          <w:rFonts w:ascii="Arial" w:hAnsi="Arial"/>
          <w:color w:val="000000"/>
          <w:sz w:val="22"/>
        </w:rPr>
        <w:t>utilisés pour l’avancement</w:t>
      </w:r>
      <w:r>
        <w:rPr>
          <w:rFonts w:ascii="Arial" w:hAnsi="Arial"/>
          <w:color w:val="000000"/>
          <w:sz w:val="22"/>
        </w:rPr>
        <w:t xml:space="preserve"> des projets </w:t>
      </w:r>
      <w:r w:rsidR="00EA4C80">
        <w:rPr>
          <w:rFonts w:ascii="Arial" w:hAnsi="Arial"/>
          <w:color w:val="000000"/>
          <w:sz w:val="22"/>
        </w:rPr>
        <w:t>d</w:t>
      </w:r>
      <w:r w:rsidR="00B069CA">
        <w:rPr>
          <w:rFonts w:ascii="Arial" w:hAnsi="Arial"/>
          <w:color w:val="000000"/>
          <w:sz w:val="22"/>
        </w:rPr>
        <w:t xml:space="preserve">e prospection </w:t>
      </w:r>
      <w:r w:rsidR="00EA4C80">
        <w:rPr>
          <w:rFonts w:ascii="Arial" w:hAnsi="Arial"/>
          <w:color w:val="000000"/>
          <w:sz w:val="22"/>
        </w:rPr>
        <w:t xml:space="preserve">de métaux de </w:t>
      </w:r>
      <w:proofErr w:type="spellStart"/>
      <w:r w:rsidR="00EA4C80">
        <w:rPr>
          <w:rFonts w:ascii="Arial" w:hAnsi="Arial"/>
          <w:color w:val="000000"/>
          <w:sz w:val="22"/>
        </w:rPr>
        <w:t>Kuniko</w:t>
      </w:r>
      <w:proofErr w:type="spellEnd"/>
      <w:r w:rsidR="00EA4C80">
        <w:rPr>
          <w:rFonts w:ascii="Arial" w:hAnsi="Arial"/>
          <w:color w:val="000000"/>
          <w:sz w:val="22"/>
        </w:rPr>
        <w:t xml:space="preserve"> </w:t>
      </w:r>
      <w:r>
        <w:rPr>
          <w:rFonts w:ascii="Arial" w:hAnsi="Arial"/>
          <w:color w:val="000000"/>
          <w:sz w:val="22"/>
        </w:rPr>
        <w:t>en Norvège, dont le nickel, le cobalt et le cuivre.</w:t>
      </w:r>
    </w:p>
    <w:p w14:paraId="35032CF7" w14:textId="6994EB26" w:rsidR="00913FCE" w:rsidRPr="00E241A7" w:rsidRDefault="00044E26" w:rsidP="00EB6019">
      <w:pPr>
        <w:pBdr>
          <w:top w:val="nil"/>
          <w:left w:val="nil"/>
          <w:bottom w:val="nil"/>
          <w:right w:val="nil"/>
          <w:between w:val="nil"/>
        </w:pBdr>
        <w:rPr>
          <w:rFonts w:ascii="Arial" w:eastAsia="Arial" w:hAnsi="Arial" w:cs="Arial"/>
          <w:color w:val="000000"/>
          <w:sz w:val="22"/>
          <w:szCs w:val="22"/>
        </w:rPr>
      </w:pPr>
      <w:r>
        <w:rPr>
          <w:rFonts w:ascii="Arial" w:hAnsi="Arial"/>
          <w:color w:val="000000"/>
          <w:sz w:val="22"/>
        </w:rPr>
        <w:lastRenderedPageBreak/>
        <w:t xml:space="preserve">Dans le cadre de son Plan Stratégique </w:t>
      </w:r>
      <w:hyperlink r:id="rId13" w:history="1">
        <w:r>
          <w:rPr>
            <w:rStyle w:val="Hyperlink"/>
            <w:rFonts w:ascii="Arial" w:hAnsi="Arial"/>
            <w:sz w:val="22"/>
            <w:u w:val="single"/>
          </w:rPr>
          <w:t>Dare Forward 2030</w:t>
        </w:r>
      </w:hyperlink>
      <w:r>
        <w:rPr>
          <w:rFonts w:ascii="Arial" w:hAnsi="Arial"/>
          <w:color w:val="000000"/>
          <w:sz w:val="22"/>
        </w:rPr>
        <w:t xml:space="preserve">, Stellantis a annoncé son intention d’atteindre 100 % des ventes de véhicules électriques à batterie (BEV) pour les voitures particulières en Europe et 50 % des ventes </w:t>
      </w:r>
      <w:r w:rsidRPr="0043382F">
        <w:rPr>
          <w:rFonts w:ascii="Arial" w:hAnsi="Arial"/>
          <w:color w:val="000000"/>
          <w:sz w:val="22"/>
        </w:rPr>
        <w:t xml:space="preserve">de BEV pour les voitures particulières et les </w:t>
      </w:r>
      <w:proofErr w:type="spellStart"/>
      <w:r w:rsidRPr="0043382F">
        <w:rPr>
          <w:rFonts w:ascii="Arial" w:hAnsi="Arial"/>
          <w:color w:val="000000"/>
          <w:sz w:val="22"/>
        </w:rPr>
        <w:t>pick</w:t>
      </w:r>
      <w:proofErr w:type="spellEnd"/>
      <w:r w:rsidRPr="0043382F">
        <w:rPr>
          <w:rFonts w:ascii="Arial" w:hAnsi="Arial"/>
          <w:color w:val="000000"/>
          <w:sz w:val="22"/>
        </w:rPr>
        <w:t xml:space="preserve"> up aux États-Unis d’ici 2030. Stellantis est en bonne voie</w:t>
      </w:r>
      <w:r>
        <w:rPr>
          <w:rFonts w:ascii="Arial" w:hAnsi="Arial"/>
          <w:color w:val="000000"/>
          <w:sz w:val="22"/>
        </w:rPr>
        <w:t xml:space="preserve"> pour devenir une entreprise neutre en carbone, tous champs d’application confondus, d’ici 2038, avec un pourcentage de compensation des émissions résiduelles à un seul chiffre. </w:t>
      </w:r>
    </w:p>
    <w:p w14:paraId="55E0D107" w14:textId="77777777" w:rsidR="00F14A80" w:rsidRPr="00E241A7" w:rsidRDefault="00F14A80" w:rsidP="00EB6019">
      <w:pPr>
        <w:pBdr>
          <w:top w:val="nil"/>
          <w:left w:val="nil"/>
          <w:bottom w:val="nil"/>
          <w:right w:val="nil"/>
          <w:between w:val="nil"/>
        </w:pBdr>
        <w:rPr>
          <w:rFonts w:ascii="Arial" w:eastAsia="Arial" w:hAnsi="Arial" w:cs="Arial"/>
          <w:color w:val="000000"/>
          <w:sz w:val="22"/>
          <w:szCs w:val="22"/>
        </w:rPr>
      </w:pPr>
      <w:r>
        <w:rPr>
          <w:rFonts w:ascii="Arial" w:hAnsi="Arial"/>
          <w:color w:val="000000"/>
          <w:sz w:val="22"/>
        </w:rPr>
        <w:t>La conclusion des accords engageants d’approvisionnement et de souscription d’actions est soumise aux conditions suspensives habituelles, notamment aux approbations réglementaires.</w:t>
      </w:r>
    </w:p>
    <w:p w14:paraId="2CBFD675" w14:textId="7166D615" w:rsidR="00044E26" w:rsidRPr="00E241A7" w:rsidRDefault="00F14A80" w:rsidP="00EB6019">
      <w:pPr>
        <w:pBdr>
          <w:top w:val="nil"/>
          <w:left w:val="nil"/>
          <w:bottom w:val="nil"/>
          <w:right w:val="nil"/>
          <w:between w:val="nil"/>
        </w:pBdr>
        <w:rPr>
          <w:rFonts w:ascii="Arial" w:eastAsia="Arial" w:hAnsi="Arial" w:cs="Arial"/>
          <w:color w:val="000000"/>
          <w:sz w:val="22"/>
          <w:szCs w:val="22"/>
        </w:rPr>
      </w:pPr>
      <w:r>
        <w:rPr>
          <w:rFonts w:ascii="Arial" w:hAnsi="Arial"/>
          <w:color w:val="000000"/>
          <w:sz w:val="22"/>
        </w:rPr>
        <w:t xml:space="preserve">Stellantis </w:t>
      </w:r>
      <w:r w:rsidR="0085102D">
        <w:rPr>
          <w:rFonts w:ascii="Arial" w:hAnsi="Arial"/>
          <w:color w:val="000000"/>
          <w:sz w:val="22"/>
        </w:rPr>
        <w:t>est en</w:t>
      </w:r>
      <w:r w:rsidR="0043382F">
        <w:rPr>
          <w:rFonts w:ascii="Arial" w:hAnsi="Arial"/>
          <w:color w:val="000000"/>
          <w:sz w:val="22"/>
        </w:rPr>
        <w:t xml:space="preserve"> </w:t>
      </w:r>
      <w:r w:rsidR="0085102D">
        <w:rPr>
          <w:rFonts w:ascii="Arial" w:hAnsi="Arial"/>
          <w:color w:val="000000"/>
          <w:sz w:val="22"/>
        </w:rPr>
        <w:t xml:space="preserve">train de constituer </w:t>
      </w:r>
      <w:r>
        <w:rPr>
          <w:rFonts w:ascii="Arial" w:hAnsi="Arial"/>
          <w:color w:val="000000"/>
          <w:sz w:val="22"/>
        </w:rPr>
        <w:t xml:space="preserve">un panel de partenaires </w:t>
      </w:r>
      <w:r w:rsidR="0085102D">
        <w:rPr>
          <w:rFonts w:ascii="Arial" w:hAnsi="Arial"/>
          <w:color w:val="000000"/>
          <w:sz w:val="22"/>
        </w:rPr>
        <w:t xml:space="preserve">clés </w:t>
      </w:r>
      <w:r>
        <w:rPr>
          <w:rFonts w:ascii="Arial" w:hAnsi="Arial"/>
          <w:color w:val="000000"/>
          <w:sz w:val="22"/>
        </w:rPr>
        <w:t xml:space="preserve">afin </w:t>
      </w:r>
      <w:r w:rsidR="0085102D">
        <w:rPr>
          <w:rFonts w:ascii="Arial" w:hAnsi="Arial"/>
          <w:color w:val="000000"/>
          <w:sz w:val="22"/>
        </w:rPr>
        <w:t>d’assurer un</w:t>
      </w:r>
      <w:r>
        <w:rPr>
          <w:rFonts w:ascii="Arial" w:hAnsi="Arial"/>
          <w:color w:val="000000"/>
          <w:sz w:val="22"/>
        </w:rPr>
        <w:t xml:space="preserve"> approvisionnement </w:t>
      </w:r>
      <w:r w:rsidR="0085102D">
        <w:rPr>
          <w:rFonts w:ascii="Arial" w:hAnsi="Arial"/>
          <w:color w:val="000000"/>
          <w:sz w:val="22"/>
        </w:rPr>
        <w:t xml:space="preserve">stable </w:t>
      </w:r>
      <w:r>
        <w:rPr>
          <w:rFonts w:ascii="Arial" w:hAnsi="Arial"/>
          <w:color w:val="000000"/>
          <w:sz w:val="22"/>
        </w:rPr>
        <w:t xml:space="preserve">en </w:t>
      </w:r>
      <w:r w:rsidR="0085102D">
        <w:rPr>
          <w:rFonts w:ascii="Arial" w:hAnsi="Arial"/>
          <w:color w:val="000000"/>
          <w:sz w:val="22"/>
        </w:rPr>
        <w:t>matériaux</w:t>
      </w:r>
      <w:r>
        <w:rPr>
          <w:rFonts w:ascii="Arial" w:hAnsi="Arial"/>
          <w:color w:val="000000"/>
          <w:sz w:val="22"/>
        </w:rPr>
        <w:t xml:space="preserve"> essentiel</w:t>
      </w:r>
      <w:r w:rsidR="0085102D">
        <w:rPr>
          <w:rFonts w:ascii="Arial" w:hAnsi="Arial"/>
          <w:color w:val="000000"/>
          <w:sz w:val="22"/>
        </w:rPr>
        <w:t>s</w:t>
      </w:r>
      <w:r>
        <w:rPr>
          <w:rFonts w:ascii="Arial" w:hAnsi="Arial"/>
          <w:color w:val="000000"/>
          <w:sz w:val="22"/>
        </w:rPr>
        <w:t xml:space="preserve"> </w:t>
      </w:r>
      <w:r w:rsidR="0085102D">
        <w:rPr>
          <w:rFonts w:ascii="Arial" w:hAnsi="Arial"/>
          <w:color w:val="000000"/>
          <w:sz w:val="22"/>
        </w:rPr>
        <w:t>pour</w:t>
      </w:r>
      <w:r>
        <w:rPr>
          <w:rFonts w:ascii="Arial" w:hAnsi="Arial"/>
          <w:color w:val="000000"/>
          <w:sz w:val="22"/>
        </w:rPr>
        <w:t xml:space="preserve"> son avenir électrifié. Outre son accord avec </w:t>
      </w:r>
      <w:proofErr w:type="spellStart"/>
      <w:r>
        <w:rPr>
          <w:rFonts w:ascii="Arial" w:hAnsi="Arial"/>
          <w:color w:val="000000"/>
          <w:sz w:val="22"/>
        </w:rPr>
        <w:t>Kuniko</w:t>
      </w:r>
      <w:proofErr w:type="spellEnd"/>
      <w:r>
        <w:rPr>
          <w:rFonts w:ascii="Arial" w:hAnsi="Arial"/>
          <w:color w:val="000000"/>
          <w:sz w:val="22"/>
        </w:rPr>
        <w:t xml:space="preserve">, </w:t>
      </w:r>
      <w:proofErr w:type="spellStart"/>
      <w:r>
        <w:rPr>
          <w:rFonts w:ascii="Arial" w:hAnsi="Arial"/>
          <w:color w:val="000000"/>
          <w:sz w:val="22"/>
        </w:rPr>
        <w:t>Stellantis</w:t>
      </w:r>
      <w:proofErr w:type="spellEnd"/>
      <w:r>
        <w:rPr>
          <w:rFonts w:ascii="Arial" w:hAnsi="Arial"/>
          <w:color w:val="000000"/>
          <w:sz w:val="22"/>
        </w:rPr>
        <w:t xml:space="preserve"> a conclu des accords avec </w:t>
      </w:r>
      <w:hyperlink r:id="rId14" w:history="1">
        <w:r w:rsidRPr="00EB6019">
          <w:rPr>
            <w:rStyle w:val="Hyperlink"/>
            <w:rFonts w:ascii="Arial" w:hAnsi="Arial"/>
            <w:sz w:val="22"/>
            <w:u w:val="single"/>
          </w:rPr>
          <w:t>Alliance Nickel</w:t>
        </w:r>
      </w:hyperlink>
      <w:r w:rsidRPr="00EB6019">
        <w:rPr>
          <w:rFonts w:ascii="Arial" w:hAnsi="Arial"/>
          <w:color w:val="000000"/>
          <w:sz w:val="22"/>
          <w:u w:val="single"/>
        </w:rPr>
        <w:t>,</w:t>
      </w:r>
      <w:r>
        <w:rPr>
          <w:rFonts w:ascii="Arial" w:hAnsi="Arial"/>
          <w:sz w:val="22"/>
        </w:rPr>
        <w:t xml:space="preserve"> </w:t>
      </w:r>
      <w:hyperlink r:id="rId15" w:history="1">
        <w:r>
          <w:rPr>
            <w:rStyle w:val="Hyperlink"/>
            <w:rFonts w:ascii="Arial" w:hAnsi="Arial"/>
            <w:sz w:val="22"/>
            <w:u w:val="single"/>
          </w:rPr>
          <w:t>McEwen Copper</w:t>
        </w:r>
      </w:hyperlink>
      <w:r>
        <w:rPr>
          <w:rFonts w:ascii="Arial" w:hAnsi="Arial"/>
          <w:color w:val="000000"/>
          <w:sz w:val="22"/>
        </w:rPr>
        <w:t xml:space="preserve">, </w:t>
      </w:r>
      <w:hyperlink r:id="rId16" w:history="1">
        <w:proofErr w:type="spellStart"/>
        <w:r>
          <w:rPr>
            <w:rStyle w:val="Hyperlink"/>
            <w:rFonts w:ascii="Arial" w:hAnsi="Arial"/>
            <w:sz w:val="22"/>
            <w:u w:val="single"/>
          </w:rPr>
          <w:t>Terrafame</w:t>
        </w:r>
        <w:proofErr w:type="spellEnd"/>
      </w:hyperlink>
      <w:r>
        <w:rPr>
          <w:rFonts w:ascii="Arial" w:hAnsi="Arial"/>
          <w:color w:val="000000"/>
          <w:sz w:val="22"/>
        </w:rPr>
        <w:t xml:space="preserve">, </w:t>
      </w:r>
      <w:hyperlink r:id="rId17" w:history="1">
        <w:r>
          <w:rPr>
            <w:rStyle w:val="Hyperlink"/>
            <w:rFonts w:ascii="Arial" w:hAnsi="Arial"/>
            <w:sz w:val="22"/>
            <w:u w:val="single"/>
          </w:rPr>
          <w:t>Vulcan Energy</w:t>
        </w:r>
      </w:hyperlink>
      <w:r>
        <w:rPr>
          <w:rFonts w:ascii="Arial" w:hAnsi="Arial"/>
          <w:color w:val="000000"/>
          <w:sz w:val="22"/>
        </w:rPr>
        <w:t xml:space="preserve">, </w:t>
      </w:r>
      <w:hyperlink r:id="rId18" w:history="1">
        <w:proofErr w:type="spellStart"/>
        <w:r>
          <w:rPr>
            <w:rStyle w:val="Hyperlink"/>
            <w:rFonts w:ascii="Arial" w:hAnsi="Arial"/>
            <w:sz w:val="22"/>
            <w:u w:val="single"/>
          </w:rPr>
          <w:t>Element</w:t>
        </w:r>
        <w:proofErr w:type="spellEnd"/>
        <w:r>
          <w:rPr>
            <w:rStyle w:val="Hyperlink"/>
            <w:rFonts w:ascii="Arial" w:hAnsi="Arial"/>
            <w:sz w:val="22"/>
            <w:u w:val="single"/>
          </w:rPr>
          <w:t xml:space="preserve"> 25</w:t>
        </w:r>
      </w:hyperlink>
      <w:r>
        <w:rPr>
          <w:rFonts w:ascii="Arial" w:hAnsi="Arial"/>
          <w:color w:val="000000"/>
          <w:sz w:val="22"/>
        </w:rPr>
        <w:t xml:space="preserve"> et </w:t>
      </w:r>
      <w:hyperlink r:id="rId19" w:history="1">
        <w:proofErr w:type="spellStart"/>
        <w:r>
          <w:rPr>
            <w:rStyle w:val="Hyperlink"/>
            <w:rFonts w:ascii="Arial" w:hAnsi="Arial"/>
            <w:sz w:val="22"/>
            <w:u w:val="single"/>
          </w:rPr>
          <w:t>Controlled</w:t>
        </w:r>
        <w:proofErr w:type="spellEnd"/>
        <w:r>
          <w:rPr>
            <w:rStyle w:val="Hyperlink"/>
            <w:rFonts w:ascii="Arial" w:hAnsi="Arial"/>
            <w:sz w:val="22"/>
            <w:u w:val="single"/>
          </w:rPr>
          <w:t xml:space="preserve"> Thermal </w:t>
        </w:r>
        <w:proofErr w:type="spellStart"/>
        <w:r>
          <w:rPr>
            <w:rStyle w:val="Hyperlink"/>
            <w:rFonts w:ascii="Arial" w:hAnsi="Arial"/>
            <w:sz w:val="22"/>
            <w:u w:val="single"/>
          </w:rPr>
          <w:t>Resources</w:t>
        </w:r>
        <w:proofErr w:type="spellEnd"/>
      </w:hyperlink>
      <w:r>
        <w:rPr>
          <w:rFonts w:ascii="Arial" w:hAnsi="Arial"/>
          <w:color w:val="000000"/>
          <w:sz w:val="22"/>
        </w:rPr>
        <w:t xml:space="preserve">. </w:t>
      </w:r>
    </w:p>
    <w:p w14:paraId="569302F8" w14:textId="77777777" w:rsidR="007F0624" w:rsidRPr="00E241A7" w:rsidRDefault="007F0624" w:rsidP="007F0624">
      <w:pPr>
        <w:jc w:val="center"/>
        <w:rPr>
          <w:rFonts w:ascii="Arial" w:eastAsia="Encode Sans" w:hAnsi="Arial" w:cs="Arial"/>
          <w:sz w:val="22"/>
          <w:szCs w:val="22"/>
        </w:rPr>
      </w:pPr>
      <w:r>
        <w:rPr>
          <w:rFonts w:ascii="Arial" w:hAnsi="Arial"/>
          <w:sz w:val="22"/>
        </w:rPr>
        <w:t># # #</w:t>
      </w:r>
    </w:p>
    <w:p w14:paraId="60E5D456" w14:textId="77777777" w:rsidR="007A1CD0" w:rsidRPr="00E241A7" w:rsidRDefault="007A1CD0" w:rsidP="00E653B0">
      <w:pPr>
        <w:spacing w:after="0"/>
        <w:rPr>
          <w:rFonts w:ascii="Arial" w:eastAsia="Times New Roman" w:hAnsi="Arial" w:cs="Arial"/>
          <w:b/>
          <w:bCs/>
          <w:sz w:val="22"/>
          <w:szCs w:val="22"/>
        </w:rPr>
      </w:pPr>
      <w:bookmarkStart w:id="0" w:name="_Hlk106354158"/>
    </w:p>
    <w:p w14:paraId="6C0FC4D3" w14:textId="77777777" w:rsidR="00211BDA" w:rsidRPr="0058020B" w:rsidRDefault="00211BDA" w:rsidP="00E653B0">
      <w:pPr>
        <w:spacing w:after="0"/>
        <w:rPr>
          <w:rFonts w:ascii="Arial" w:eastAsia="Times New Roman" w:hAnsi="Arial" w:cs="Arial"/>
          <w:b/>
          <w:bCs/>
          <w:sz w:val="20"/>
          <w:szCs w:val="20"/>
        </w:rPr>
      </w:pPr>
      <w:r>
        <w:rPr>
          <w:rFonts w:ascii="Arial" w:hAnsi="Arial"/>
          <w:b/>
          <w:sz w:val="20"/>
        </w:rPr>
        <w:t>À propos de Stellantis</w:t>
      </w:r>
    </w:p>
    <w:bookmarkEnd w:id="0"/>
    <w:p w14:paraId="33FECDD6" w14:textId="77777777" w:rsidR="009D782E" w:rsidRPr="0058020B" w:rsidRDefault="00C87382" w:rsidP="00EB6019">
      <w:pPr>
        <w:pBdr>
          <w:top w:val="nil"/>
          <w:left w:val="nil"/>
          <w:bottom w:val="nil"/>
          <w:right w:val="nil"/>
          <w:between w:val="nil"/>
        </w:pBdr>
        <w:spacing w:after="0"/>
        <w:rPr>
          <w:rFonts w:ascii="Arial" w:eastAsia="Arial" w:hAnsi="Arial" w:cs="Arial"/>
          <w:iCs/>
          <w:color w:val="000000"/>
          <w:sz w:val="20"/>
          <w:szCs w:val="20"/>
        </w:rPr>
      </w:pPr>
      <w:r>
        <w:rPr>
          <w:rFonts w:ascii="Arial" w:hAnsi="Arial"/>
          <w:i/>
          <w:sz w:val="20"/>
        </w:rPr>
        <w:t>Stellantis N.V. (NYSE : STLA / Euronext Milan : STLAM / Euronext Paris : STLAP)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p w14:paraId="512B55E5" w14:textId="77777777" w:rsidR="00C87382" w:rsidRPr="001A2414" w:rsidRDefault="00C87382" w:rsidP="005C533B">
      <w:pPr>
        <w:spacing w:after="0"/>
        <w:jc w:val="left"/>
        <w:rPr>
          <w:rFonts w:ascii="Arial" w:eastAsia="Times New Roman" w:hAnsi="Arial" w:cs="Arial"/>
          <w:b/>
          <w:bCs/>
          <w:sz w:val="20"/>
          <w:szCs w:val="20"/>
        </w:rPr>
      </w:pPr>
    </w:p>
    <w:p w14:paraId="068B1327" w14:textId="77777777" w:rsidR="00AC527D" w:rsidRPr="0058020B" w:rsidRDefault="00AC527D" w:rsidP="00AC527D">
      <w:pPr>
        <w:spacing w:after="0"/>
        <w:jc w:val="left"/>
        <w:rPr>
          <w:rFonts w:ascii="Arial" w:eastAsia="Times New Roman" w:hAnsi="Arial" w:cs="Arial"/>
          <w:b/>
          <w:bCs/>
          <w:sz w:val="20"/>
          <w:szCs w:val="20"/>
        </w:rPr>
      </w:pPr>
      <w:r>
        <w:rPr>
          <w:rFonts w:ascii="Arial" w:hAnsi="Arial"/>
          <w:b/>
          <w:sz w:val="20"/>
        </w:rPr>
        <w:t xml:space="preserve">À propos de </w:t>
      </w:r>
      <w:proofErr w:type="spellStart"/>
      <w:r>
        <w:rPr>
          <w:rFonts w:ascii="Arial" w:hAnsi="Arial"/>
          <w:b/>
          <w:sz w:val="20"/>
        </w:rPr>
        <w:t>Kuniko</w:t>
      </w:r>
      <w:proofErr w:type="spellEnd"/>
      <w:r>
        <w:rPr>
          <w:rFonts w:ascii="Arial" w:hAnsi="Arial"/>
          <w:b/>
          <w:sz w:val="20"/>
        </w:rPr>
        <w:t xml:space="preserve"> Limited</w:t>
      </w:r>
    </w:p>
    <w:p w14:paraId="206A744B" w14:textId="77777777" w:rsidR="00AC527D" w:rsidRPr="00B069CA" w:rsidRDefault="00AC527D" w:rsidP="00EB6019">
      <w:pPr>
        <w:spacing w:after="0"/>
        <w:rPr>
          <w:rFonts w:ascii="Arial" w:eastAsia="Times New Roman" w:hAnsi="Arial" w:cs="Arial"/>
          <w:i/>
          <w:iCs/>
          <w:sz w:val="20"/>
          <w:szCs w:val="20"/>
        </w:rPr>
      </w:pPr>
      <w:proofErr w:type="spellStart"/>
      <w:r w:rsidRPr="00EB6019">
        <w:rPr>
          <w:rFonts w:ascii="Arial" w:hAnsi="Arial"/>
          <w:i/>
          <w:iCs/>
          <w:sz w:val="20"/>
        </w:rPr>
        <w:t>Kuniko</w:t>
      </w:r>
      <w:proofErr w:type="spellEnd"/>
      <w:r w:rsidRPr="00EB6019">
        <w:rPr>
          <w:rFonts w:ascii="Arial" w:hAnsi="Arial"/>
          <w:i/>
          <w:iCs/>
          <w:sz w:val="20"/>
        </w:rPr>
        <w:t xml:space="preserve"> Limited (ASX : KNI) est une société européenne de prospection de minerais pour batteries et de développement de projets de prospection ciblant les métaux destinés à la mobilité électrique comme le cuivre, le nickel, le cobalt et le lithium. </w:t>
      </w:r>
      <w:proofErr w:type="spellStart"/>
      <w:r w:rsidRPr="00EB6019">
        <w:rPr>
          <w:rFonts w:ascii="Arial" w:hAnsi="Arial"/>
          <w:i/>
          <w:iCs/>
          <w:sz w:val="20"/>
        </w:rPr>
        <w:t>Kuniko</w:t>
      </w:r>
      <w:proofErr w:type="spellEnd"/>
      <w:r w:rsidRPr="00EB6019">
        <w:rPr>
          <w:rFonts w:ascii="Arial" w:hAnsi="Arial"/>
          <w:i/>
          <w:iCs/>
          <w:sz w:val="20"/>
        </w:rPr>
        <w:t xml:space="preserve"> se positionne sur le secteur en pleine croissance des batteries européennes en cherchant à dynamiser les solutions basées en Europe pour la chaîne de valeur des batteries grâce au développement de son portefeuille de projets de métaux pour batterie en Norvège et au Canada. Les projets de </w:t>
      </w:r>
      <w:proofErr w:type="spellStart"/>
      <w:r w:rsidRPr="00EB6019">
        <w:rPr>
          <w:rFonts w:ascii="Arial" w:hAnsi="Arial"/>
          <w:i/>
          <w:iCs/>
          <w:sz w:val="20"/>
        </w:rPr>
        <w:t>Kuniko</w:t>
      </w:r>
      <w:proofErr w:type="spellEnd"/>
      <w:r w:rsidRPr="00EB6019">
        <w:rPr>
          <w:rFonts w:ascii="Arial" w:hAnsi="Arial"/>
          <w:i/>
          <w:iCs/>
          <w:sz w:val="20"/>
        </w:rPr>
        <w:t xml:space="preserve"> visent à réduire la dépendance de l’Europe envers les sources extérieures de métaux pour batteries en proposant un approvisionnement local, éthique et durable des métaux pour batteries indispensables. </w:t>
      </w:r>
      <w:proofErr w:type="spellStart"/>
      <w:r w:rsidRPr="00EB6019">
        <w:rPr>
          <w:rFonts w:ascii="Arial" w:hAnsi="Arial"/>
          <w:i/>
          <w:iCs/>
          <w:sz w:val="20"/>
        </w:rPr>
        <w:t>Kuniko</w:t>
      </w:r>
      <w:proofErr w:type="spellEnd"/>
      <w:r w:rsidRPr="00EB6019">
        <w:rPr>
          <w:rFonts w:ascii="Arial" w:hAnsi="Arial"/>
          <w:i/>
          <w:iCs/>
          <w:sz w:val="20"/>
        </w:rPr>
        <w:t xml:space="preserve"> s’engage fermement en faveur de la neutralité carbone tout au long des phases de prospection, de développement et de production de ses projets. </w:t>
      </w:r>
      <w:r w:rsidRPr="00B069CA">
        <w:rPr>
          <w:rFonts w:ascii="Arial" w:hAnsi="Arial"/>
          <w:i/>
          <w:iCs/>
          <w:sz w:val="20"/>
        </w:rPr>
        <w:t xml:space="preserve">Pour en savoir plus, www.kuniko.eu. </w:t>
      </w:r>
    </w:p>
    <w:p w14:paraId="2EFC32C5" w14:textId="77777777" w:rsidR="00AC527D" w:rsidRPr="001A2414" w:rsidRDefault="00AC527D" w:rsidP="00AC527D">
      <w:pPr>
        <w:spacing w:after="0"/>
        <w:jc w:val="left"/>
        <w:rPr>
          <w:rFonts w:ascii="Arial" w:eastAsia="Times New Roman" w:hAnsi="Arial" w:cs="Arial"/>
          <w:sz w:val="22"/>
          <w:szCs w:val="22"/>
        </w:rPr>
      </w:pPr>
    </w:p>
    <w:p w14:paraId="1C347B06" w14:textId="77777777" w:rsidR="00AC527D" w:rsidRPr="00E241A7" w:rsidRDefault="00AC527D" w:rsidP="00AC527D">
      <w:pPr>
        <w:spacing w:after="0"/>
        <w:rPr>
          <w:rFonts w:ascii="Arial" w:eastAsia="Arial" w:hAnsi="Arial" w:cs="Arial"/>
          <w:b/>
          <w:sz w:val="22"/>
          <w:szCs w:val="22"/>
        </w:rPr>
      </w:pPr>
    </w:p>
    <w:p w14:paraId="24604549" w14:textId="77777777" w:rsidR="00AC527D" w:rsidRPr="00507644" w:rsidRDefault="00AC527D" w:rsidP="00AC527D">
      <w:pPr>
        <w:spacing w:after="0"/>
        <w:rPr>
          <w:rFonts w:ascii="Arial" w:eastAsia="Arial" w:hAnsi="Arial" w:cs="Arial"/>
          <w:b/>
          <w:sz w:val="22"/>
          <w:szCs w:val="22"/>
        </w:rPr>
      </w:pPr>
      <w:r>
        <w:rPr>
          <w:rFonts w:ascii="Arial" w:hAnsi="Arial"/>
          <w:b/>
          <w:sz w:val="22"/>
        </w:rPr>
        <w:t>Contacts :</w:t>
      </w:r>
    </w:p>
    <w:p w14:paraId="1C4ECC86" w14:textId="77777777" w:rsidR="00AC527D" w:rsidRPr="00507644" w:rsidRDefault="00AC527D" w:rsidP="00AC527D">
      <w:pPr>
        <w:spacing w:after="0"/>
        <w:rPr>
          <w:rFonts w:ascii="Arial" w:eastAsiaTheme="minorEastAsia" w:hAnsi="Arial" w:cs="Arial"/>
          <w:sz w:val="22"/>
          <w:szCs w:val="22"/>
        </w:rPr>
      </w:pPr>
    </w:p>
    <w:p w14:paraId="160903B4" w14:textId="77777777" w:rsidR="00AC527D" w:rsidRPr="00507644" w:rsidRDefault="00AC527D" w:rsidP="00AC527D">
      <w:pPr>
        <w:spacing w:after="0"/>
        <w:rPr>
          <w:rFonts w:ascii="Arial" w:hAnsi="Arial" w:cs="Arial"/>
          <w:b/>
          <w:bCs/>
          <w:sz w:val="22"/>
          <w:szCs w:val="22"/>
        </w:rPr>
      </w:pPr>
      <w:bookmarkStart w:id="1" w:name="_Hlk115941120"/>
      <w:r>
        <w:rPr>
          <w:rFonts w:ascii="Arial" w:hAnsi="Arial"/>
          <w:b/>
          <w:sz w:val="22"/>
        </w:rPr>
        <w:t>Stellantis</w:t>
      </w:r>
    </w:p>
    <w:p w14:paraId="72DFCDC1" w14:textId="77777777" w:rsidR="00AC527D" w:rsidRPr="00507644" w:rsidRDefault="00AC527D" w:rsidP="00AC527D">
      <w:pPr>
        <w:spacing w:after="0"/>
        <w:rPr>
          <w:rFonts w:ascii="Arial" w:hAnsi="Arial" w:cs="Arial"/>
          <w:sz w:val="22"/>
          <w:szCs w:val="22"/>
        </w:rPr>
      </w:pPr>
    </w:p>
    <w:p w14:paraId="0EE55C41" w14:textId="77777777" w:rsidR="00AC527D" w:rsidRPr="00507644" w:rsidRDefault="00AC527D" w:rsidP="00AC527D">
      <w:pPr>
        <w:tabs>
          <w:tab w:val="left" w:pos="2592"/>
        </w:tabs>
        <w:spacing w:after="0"/>
        <w:rPr>
          <w:rFonts w:ascii="Arial" w:eastAsia="Arial" w:hAnsi="Arial" w:cs="Arial"/>
          <w:b/>
          <w:bCs/>
          <w:sz w:val="18"/>
          <w:szCs w:val="18"/>
        </w:rPr>
      </w:pPr>
      <w:proofErr w:type="spellStart"/>
      <w:r>
        <w:rPr>
          <w:rFonts w:ascii="Arial" w:hAnsi="Arial"/>
          <w:b/>
          <w:sz w:val="18"/>
        </w:rPr>
        <w:t>Fernão</w:t>
      </w:r>
      <w:proofErr w:type="spellEnd"/>
      <w:r>
        <w:rPr>
          <w:rFonts w:ascii="Arial" w:hAnsi="Arial"/>
          <w:b/>
          <w:sz w:val="18"/>
        </w:rPr>
        <w:t xml:space="preserve"> Silveira </w:t>
      </w:r>
    </w:p>
    <w:p w14:paraId="1010D5E6" w14:textId="77777777" w:rsidR="00AC527D" w:rsidRPr="001A2414" w:rsidRDefault="00AC527D" w:rsidP="00AC527D">
      <w:pPr>
        <w:tabs>
          <w:tab w:val="left" w:pos="2592"/>
        </w:tabs>
        <w:spacing w:after="0"/>
        <w:rPr>
          <w:rFonts w:ascii="Arial" w:eastAsia="Arial" w:hAnsi="Arial" w:cs="Arial"/>
          <w:sz w:val="18"/>
          <w:szCs w:val="18"/>
          <w:lang w:val="en-US"/>
        </w:rPr>
      </w:pPr>
      <w:r w:rsidRPr="001A2414">
        <w:rPr>
          <w:rFonts w:ascii="Arial" w:hAnsi="Arial"/>
          <w:sz w:val="18"/>
          <w:lang w:val="en-US"/>
        </w:rPr>
        <w:t>Global Communications / Stellantis</w:t>
      </w:r>
    </w:p>
    <w:p w14:paraId="70EA9971" w14:textId="77777777" w:rsidR="00AC527D" w:rsidRPr="001A2414" w:rsidRDefault="00AC527D" w:rsidP="00AC527D">
      <w:pPr>
        <w:tabs>
          <w:tab w:val="left" w:pos="2592"/>
        </w:tabs>
        <w:spacing w:after="0"/>
        <w:rPr>
          <w:rFonts w:ascii="Arial" w:eastAsia="Arial" w:hAnsi="Arial" w:cs="Arial"/>
          <w:sz w:val="18"/>
          <w:szCs w:val="18"/>
          <w:lang w:val="en-US"/>
        </w:rPr>
      </w:pPr>
      <w:r w:rsidRPr="001A2414">
        <w:rPr>
          <w:rFonts w:ascii="Arial" w:hAnsi="Arial"/>
          <w:sz w:val="18"/>
          <w:lang w:val="en-US"/>
        </w:rPr>
        <w:t>+31 6 43 25 43 41</w:t>
      </w:r>
    </w:p>
    <w:p w14:paraId="730D696D" w14:textId="77777777" w:rsidR="00AC527D" w:rsidRPr="001A2414" w:rsidRDefault="00AC527D" w:rsidP="00AC527D">
      <w:pPr>
        <w:tabs>
          <w:tab w:val="left" w:pos="2592"/>
        </w:tabs>
        <w:spacing w:after="0"/>
        <w:rPr>
          <w:rFonts w:ascii="Arial" w:eastAsia="Arial" w:hAnsi="Arial" w:cs="Arial"/>
          <w:sz w:val="18"/>
          <w:szCs w:val="18"/>
          <w:lang w:val="en-US"/>
        </w:rPr>
      </w:pPr>
      <w:r w:rsidRPr="001A2414">
        <w:rPr>
          <w:rFonts w:ascii="Arial" w:hAnsi="Arial"/>
          <w:sz w:val="18"/>
          <w:lang w:val="en-US"/>
        </w:rPr>
        <w:t xml:space="preserve">fernao.silveira@stellantis.com </w:t>
      </w:r>
    </w:p>
    <w:bookmarkEnd w:id="1"/>
    <w:p w14:paraId="611F2BFF" w14:textId="77777777" w:rsidR="00AC527D" w:rsidRPr="001A2414" w:rsidRDefault="00AC527D" w:rsidP="00AC527D">
      <w:pPr>
        <w:tabs>
          <w:tab w:val="left" w:pos="2592"/>
        </w:tabs>
        <w:spacing w:after="0"/>
        <w:rPr>
          <w:rFonts w:ascii="Arial" w:eastAsia="Arial" w:hAnsi="Arial" w:cs="Arial"/>
          <w:b/>
          <w:bCs/>
          <w:sz w:val="22"/>
          <w:szCs w:val="22"/>
          <w:lang w:val="en-US"/>
        </w:rPr>
      </w:pPr>
    </w:p>
    <w:p w14:paraId="03E7BA0B" w14:textId="77777777" w:rsidR="00AC527D" w:rsidRPr="001A2414" w:rsidRDefault="00AC527D" w:rsidP="00AC527D">
      <w:pPr>
        <w:tabs>
          <w:tab w:val="left" w:pos="2592"/>
        </w:tabs>
        <w:spacing w:after="0"/>
        <w:rPr>
          <w:rFonts w:ascii="Arial" w:eastAsia="Arial" w:hAnsi="Arial" w:cs="Arial"/>
          <w:b/>
          <w:bCs/>
          <w:sz w:val="22"/>
          <w:szCs w:val="22"/>
          <w:lang w:val="en-US"/>
        </w:rPr>
      </w:pPr>
      <w:r w:rsidRPr="001A2414">
        <w:rPr>
          <w:rFonts w:ascii="Arial" w:hAnsi="Arial"/>
          <w:b/>
          <w:sz w:val="22"/>
          <w:lang w:val="en-US"/>
        </w:rPr>
        <w:t>Kuniko Limited</w:t>
      </w:r>
    </w:p>
    <w:p w14:paraId="6BD8FAC1" w14:textId="77777777" w:rsidR="00AC527D" w:rsidRPr="001A2414" w:rsidRDefault="00AC527D" w:rsidP="00AC527D">
      <w:pPr>
        <w:tabs>
          <w:tab w:val="left" w:pos="2592"/>
        </w:tabs>
        <w:spacing w:after="0"/>
        <w:rPr>
          <w:rFonts w:ascii="Arial" w:eastAsia="Arial" w:hAnsi="Arial" w:cs="Arial"/>
          <w:b/>
          <w:bCs/>
          <w:sz w:val="22"/>
          <w:szCs w:val="22"/>
          <w:lang w:val="en-US"/>
        </w:rPr>
      </w:pPr>
    </w:p>
    <w:p w14:paraId="7E18B83E" w14:textId="77777777" w:rsidR="00AC527D" w:rsidRPr="001A2414" w:rsidRDefault="00AC527D" w:rsidP="00AC527D">
      <w:pPr>
        <w:tabs>
          <w:tab w:val="left" w:pos="2592"/>
        </w:tabs>
        <w:spacing w:after="0"/>
        <w:rPr>
          <w:rFonts w:ascii="Arial" w:eastAsia="Arial" w:hAnsi="Arial" w:cs="Arial"/>
          <w:b/>
          <w:bCs/>
          <w:sz w:val="18"/>
          <w:szCs w:val="18"/>
          <w:lang w:val="en-US"/>
        </w:rPr>
      </w:pPr>
      <w:r w:rsidRPr="001A2414">
        <w:rPr>
          <w:rFonts w:ascii="Arial" w:hAnsi="Arial"/>
          <w:b/>
          <w:sz w:val="18"/>
          <w:lang w:val="en-US"/>
        </w:rPr>
        <w:t xml:space="preserve">Antony </w:t>
      </w:r>
      <w:proofErr w:type="spellStart"/>
      <w:r w:rsidRPr="001A2414">
        <w:rPr>
          <w:rFonts w:ascii="Arial" w:hAnsi="Arial"/>
          <w:b/>
          <w:sz w:val="18"/>
          <w:lang w:val="en-US"/>
        </w:rPr>
        <w:t>Heitmann</w:t>
      </w:r>
      <w:proofErr w:type="spellEnd"/>
      <w:r w:rsidRPr="001A2414">
        <w:rPr>
          <w:rFonts w:ascii="Arial" w:hAnsi="Arial"/>
          <w:b/>
          <w:sz w:val="18"/>
          <w:lang w:val="en-US"/>
        </w:rPr>
        <w:t xml:space="preserve"> </w:t>
      </w:r>
      <w:proofErr w:type="spellStart"/>
      <w:r w:rsidRPr="001A2414">
        <w:rPr>
          <w:rFonts w:ascii="Arial" w:hAnsi="Arial"/>
          <w:b/>
          <w:sz w:val="18"/>
          <w:lang w:val="en-US"/>
        </w:rPr>
        <w:t>Beckmand</w:t>
      </w:r>
      <w:proofErr w:type="spellEnd"/>
    </w:p>
    <w:p w14:paraId="156125BA" w14:textId="77777777" w:rsidR="00AC527D" w:rsidRPr="0058020B" w:rsidRDefault="00AC527D" w:rsidP="00AC527D">
      <w:pPr>
        <w:tabs>
          <w:tab w:val="left" w:pos="2592"/>
        </w:tabs>
        <w:spacing w:after="0"/>
        <w:rPr>
          <w:rFonts w:ascii="Arial" w:eastAsia="Arial" w:hAnsi="Arial" w:cs="Arial"/>
          <w:sz w:val="18"/>
          <w:szCs w:val="18"/>
        </w:rPr>
      </w:pPr>
      <w:r>
        <w:rPr>
          <w:rFonts w:ascii="Arial" w:hAnsi="Arial"/>
          <w:sz w:val="18"/>
        </w:rPr>
        <w:t>CEO</w:t>
      </w:r>
    </w:p>
    <w:p w14:paraId="4AF10625" w14:textId="77777777" w:rsidR="00AC527D" w:rsidRPr="0058020B" w:rsidRDefault="00AC527D" w:rsidP="00AC527D">
      <w:pPr>
        <w:tabs>
          <w:tab w:val="left" w:pos="2592"/>
        </w:tabs>
        <w:spacing w:after="0"/>
        <w:rPr>
          <w:rFonts w:ascii="Arial" w:eastAsia="Arial" w:hAnsi="Arial" w:cs="Arial"/>
          <w:sz w:val="18"/>
          <w:szCs w:val="18"/>
        </w:rPr>
      </w:pPr>
      <w:r>
        <w:rPr>
          <w:rFonts w:ascii="Arial" w:hAnsi="Arial"/>
          <w:sz w:val="18"/>
        </w:rPr>
        <w:t>+47 920 47 519</w:t>
      </w:r>
    </w:p>
    <w:p w14:paraId="5A487583" w14:textId="71927EBF" w:rsidR="007D2596" w:rsidRDefault="00AC527D">
      <w:pPr>
        <w:rPr>
          <w:rFonts w:ascii="Arial" w:eastAsia="Encode Sans" w:hAnsi="Arial" w:cs="Arial"/>
          <w:b/>
          <w:bCs/>
          <w:i/>
          <w:sz w:val="18"/>
          <w:szCs w:val="18"/>
        </w:rPr>
      </w:pPr>
      <w:r>
        <w:rPr>
          <w:rFonts w:ascii="Arial" w:hAnsi="Arial"/>
          <w:sz w:val="18"/>
        </w:rPr>
        <w:t>abe@kuniko.eu</w:t>
      </w:r>
      <w:r w:rsidR="007D2596">
        <w:br w:type="page"/>
      </w:r>
    </w:p>
    <w:p w14:paraId="14947012" w14:textId="77777777" w:rsidR="004F1C79" w:rsidRPr="00E241A7" w:rsidRDefault="004F1C79" w:rsidP="004F1C79">
      <w:pPr>
        <w:spacing w:before="240"/>
        <w:rPr>
          <w:rFonts w:ascii="Arial" w:eastAsia="Encode Sans" w:hAnsi="Arial" w:cs="Arial"/>
          <w:b/>
          <w:bCs/>
          <w:i/>
          <w:sz w:val="18"/>
          <w:szCs w:val="18"/>
        </w:rPr>
      </w:pPr>
      <w:r w:rsidRPr="00E241A7">
        <w:rPr>
          <w:rFonts w:ascii="Arial" w:eastAsia="Encode Sans" w:hAnsi="Arial" w:cs="Arial"/>
          <w:b/>
          <w:bCs/>
          <w:i/>
          <w:sz w:val="18"/>
          <w:szCs w:val="18"/>
        </w:rPr>
        <w:lastRenderedPageBreak/>
        <w:t>STELLANTIS FORWARD-LOOKING STATEMENTS</w:t>
      </w:r>
    </w:p>
    <w:p w14:paraId="1D9C2B4C" w14:textId="77777777" w:rsidR="004F1C79" w:rsidRPr="004F1C79" w:rsidRDefault="004F1C79" w:rsidP="004F1C79">
      <w:pPr>
        <w:spacing w:before="240"/>
        <w:rPr>
          <w:rFonts w:ascii="Arial" w:eastAsia="Encode Sans" w:hAnsi="Arial" w:cs="Arial"/>
          <w:i/>
          <w:sz w:val="18"/>
          <w:szCs w:val="18"/>
          <w:lang w:val="en-US"/>
        </w:rPr>
      </w:pPr>
      <w:r w:rsidRPr="004F1C79">
        <w:rPr>
          <w:rFonts w:ascii="Arial" w:eastAsia="Encode Sans" w:hAnsi="Arial" w:cs="Arial"/>
          <w:i/>
          <w:sz w:val="18"/>
          <w:szCs w:val="18"/>
          <w:lang w:val="en-US"/>
        </w:rPr>
        <w:t xml:space="preserve">This communication contains forward-looking statements. </w:t>
      </w:r>
      <w:proofErr w:type="gramStart"/>
      <w:r w:rsidRPr="004F1C79">
        <w:rPr>
          <w:rFonts w:ascii="Arial" w:eastAsia="Encode Sans" w:hAnsi="Arial" w:cs="Arial"/>
          <w:i/>
          <w:sz w:val="18"/>
          <w:szCs w:val="18"/>
          <w:lang w:val="en-US"/>
        </w:rPr>
        <w:t>In particular, statements</w:t>
      </w:r>
      <w:proofErr w:type="gramEnd"/>
      <w:r w:rsidRPr="004F1C79">
        <w:rPr>
          <w:rFonts w:ascii="Arial" w:eastAsia="Encode Sans" w:hAnsi="Arial" w:cs="Arial"/>
          <w:i/>
          <w:sz w:val="18"/>
          <w:szCs w:val="18"/>
          <w:lang w:val="en-US"/>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0B35C466" w14:textId="77777777" w:rsidR="004F1C79" w:rsidRPr="004F1C79" w:rsidRDefault="004F1C79" w:rsidP="004F1C79">
      <w:pPr>
        <w:spacing w:before="240"/>
        <w:rPr>
          <w:rFonts w:ascii="Arial" w:eastAsia="Encode Sans" w:hAnsi="Arial" w:cs="Arial"/>
          <w:i/>
          <w:sz w:val="18"/>
          <w:szCs w:val="18"/>
          <w:lang w:val="en-US"/>
        </w:rPr>
      </w:pPr>
      <w:r w:rsidRPr="004F1C79">
        <w:rPr>
          <w:rFonts w:ascii="Arial" w:eastAsia="Encode Sans" w:hAnsi="Arial" w:cs="Arial"/>
          <w:i/>
          <w:sz w:val="18"/>
          <w:szCs w:val="18"/>
          <w:lang w:val="en-US"/>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28BC42F7" w14:textId="3B74596F" w:rsidR="004F1C79" w:rsidRPr="004F1C79" w:rsidRDefault="004F1C79" w:rsidP="004F1C79">
      <w:pPr>
        <w:spacing w:before="240"/>
        <w:rPr>
          <w:rFonts w:ascii="Arial" w:eastAsia="Encode Sans" w:hAnsi="Arial" w:cs="Arial"/>
          <w:i/>
          <w:sz w:val="18"/>
          <w:szCs w:val="18"/>
          <w:lang w:val="en-US"/>
        </w:rPr>
      </w:pPr>
      <w:r w:rsidRPr="004F1C79">
        <w:rPr>
          <w:rFonts w:ascii="Arial" w:eastAsia="Encode Sans" w:hAnsi="Arial" w:cs="Arial"/>
          <w:i/>
          <w:sz w:val="18"/>
          <w:szCs w:val="18"/>
          <w:lang w:val="en-US"/>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5961C343" w14:textId="77777777" w:rsidR="004F1C79" w:rsidRPr="004F1C79" w:rsidRDefault="004F1C79" w:rsidP="004F1C79">
      <w:pPr>
        <w:spacing w:before="240"/>
        <w:rPr>
          <w:rFonts w:ascii="Arial" w:eastAsia="Encode Sans" w:hAnsi="Arial" w:cs="Arial"/>
          <w:b/>
          <w:bCs/>
          <w:i/>
          <w:sz w:val="18"/>
          <w:szCs w:val="18"/>
          <w:lang w:val="en-US"/>
        </w:rPr>
      </w:pPr>
      <w:r w:rsidRPr="004F1C79">
        <w:rPr>
          <w:rFonts w:ascii="Arial" w:eastAsia="Encode Sans" w:hAnsi="Arial" w:cs="Arial"/>
          <w:b/>
          <w:bCs/>
          <w:i/>
          <w:sz w:val="18"/>
          <w:szCs w:val="18"/>
          <w:lang w:val="en-US"/>
        </w:rPr>
        <w:t xml:space="preserve">Kuniko Forward Looking Statement </w:t>
      </w:r>
    </w:p>
    <w:p w14:paraId="168CD0C3" w14:textId="77777777" w:rsidR="004F1C79" w:rsidRPr="004F1C79" w:rsidRDefault="004F1C79" w:rsidP="004F1C79">
      <w:pPr>
        <w:spacing w:before="120"/>
        <w:rPr>
          <w:rFonts w:ascii="Arial" w:eastAsia="Encode Sans" w:hAnsi="Arial" w:cs="Arial"/>
          <w:i/>
          <w:sz w:val="18"/>
          <w:szCs w:val="18"/>
          <w:lang w:val="en-US"/>
        </w:rPr>
      </w:pPr>
      <w:r w:rsidRPr="004F1C79">
        <w:rPr>
          <w:rFonts w:ascii="Arial" w:eastAsia="Encode Sans" w:hAnsi="Arial" w:cs="Arial"/>
          <w:i/>
          <w:sz w:val="18"/>
          <w:szCs w:val="18"/>
          <w:lang w:val="en-US"/>
        </w:rPr>
        <w:t xml:space="preserve">This announcement contains statements related to our future business and financial performance and future events or developments involving Kuniko Limited (Kuniko) that may constitute forward-looking statements. These statements may be identified by words such as “potential”, “exploitable”, “proposed open pit", “evaluation”, “expect," "future," "further," "operation, “development, "plan," "permitting”, "approvals”, “processing agreement” or words of similar meaning. Such statements are based on the current expectations and certain assumptions of Kuniko management &amp; consultants, and are, therefore, subject to certain risks and uncertainties. A variety of factors, many of which are beyond Kuniko’s control, affect our operations, performance, business strategy and results and could cause the actual results, </w:t>
      </w:r>
      <w:proofErr w:type="gramStart"/>
      <w:r w:rsidRPr="004F1C79">
        <w:rPr>
          <w:rFonts w:ascii="Arial" w:eastAsia="Encode Sans" w:hAnsi="Arial" w:cs="Arial"/>
          <w:i/>
          <w:sz w:val="18"/>
          <w:szCs w:val="18"/>
          <w:lang w:val="en-US"/>
        </w:rPr>
        <w:t>performance</w:t>
      </w:r>
      <w:proofErr w:type="gramEnd"/>
      <w:r w:rsidRPr="004F1C79">
        <w:rPr>
          <w:rFonts w:ascii="Arial" w:eastAsia="Encode Sans" w:hAnsi="Arial" w:cs="Arial"/>
          <w:i/>
          <w:sz w:val="18"/>
          <w:szCs w:val="18"/>
          <w:lang w:val="en-US"/>
        </w:rPr>
        <w:t xml:space="preserve"> or achievements of Kuniko to be materially different from any future results, performance or achievements that may be expressed or implied by such forward-looking statements.</w:t>
      </w:r>
    </w:p>
    <w:p w14:paraId="16A5CE07" w14:textId="77777777" w:rsidR="00C77EDC" w:rsidRPr="004F1C79" w:rsidRDefault="00C77EDC" w:rsidP="00C77EDC">
      <w:pPr>
        <w:rPr>
          <w:rFonts w:ascii="Arial" w:eastAsia="Encode Sans" w:hAnsi="Arial" w:cs="Arial"/>
          <w:i/>
          <w:sz w:val="18"/>
          <w:szCs w:val="18"/>
          <w:lang w:val="en-US"/>
        </w:rPr>
      </w:pPr>
    </w:p>
    <w:p w14:paraId="71DD998A" w14:textId="77777777" w:rsidR="00C77EDC" w:rsidRPr="004F1C79" w:rsidRDefault="00C77EDC" w:rsidP="004F3039">
      <w:pPr>
        <w:spacing w:before="240"/>
        <w:rPr>
          <w:rFonts w:ascii="Arial" w:hAnsi="Arial" w:cs="Arial"/>
          <w:b/>
          <w:i/>
          <w:sz w:val="16"/>
          <w:szCs w:val="16"/>
          <w:lang w:val="en-US"/>
        </w:rPr>
      </w:pPr>
    </w:p>
    <w:sectPr w:rsidR="00C77EDC" w:rsidRPr="004F1C79" w:rsidSect="00C202F5">
      <w:footerReference w:type="default" r:id="rId20"/>
      <w:headerReference w:type="first" r:id="rId21"/>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82BF" w14:textId="77777777" w:rsidR="0005571C" w:rsidRDefault="0005571C">
      <w:pPr>
        <w:spacing w:after="0"/>
      </w:pPr>
      <w:r>
        <w:separator/>
      </w:r>
    </w:p>
  </w:endnote>
  <w:endnote w:type="continuationSeparator" w:id="0">
    <w:p w14:paraId="1AFB659C" w14:textId="77777777" w:rsidR="0005571C" w:rsidRDefault="000557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Expanded">
    <w:altName w:val="Calibri"/>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8E35" w14:textId="77777777"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4589" w14:textId="77777777" w:rsidR="0005571C" w:rsidRDefault="0005571C">
      <w:pPr>
        <w:spacing w:after="0"/>
      </w:pPr>
      <w:r>
        <w:separator/>
      </w:r>
    </w:p>
  </w:footnote>
  <w:footnote w:type="continuationSeparator" w:id="0">
    <w:p w14:paraId="5B7A2A4F" w14:textId="77777777" w:rsidR="0005571C" w:rsidRDefault="000557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A958" w14:textId="77777777" w:rsidR="00E241A7" w:rsidRDefault="00BC5DCA">
    <w:pPr>
      <w:pStyle w:val="Header"/>
    </w:pPr>
    <w:r>
      <w:rPr>
        <w:noProof/>
      </w:rPr>
      <w:drawing>
        <wp:anchor distT="0" distB="0" distL="114300" distR="114300" simplePos="0" relativeHeight="251659264" behindDoc="1" locked="0" layoutInCell="1" allowOverlap="1" wp14:anchorId="11A32D1B" wp14:editId="3C062DF0">
          <wp:simplePos x="0" y="0"/>
          <wp:positionH relativeFrom="column">
            <wp:posOffset>3616960</wp:posOffset>
          </wp:positionH>
          <wp:positionV relativeFrom="paragraph">
            <wp:posOffset>-57785</wp:posOffset>
          </wp:positionV>
          <wp:extent cx="1538605" cy="603885"/>
          <wp:effectExtent l="0" t="0" r="4445" b="5715"/>
          <wp:wrapThrough wrapText="bothSides">
            <wp:wrapPolygon edited="0">
              <wp:start x="0" y="0"/>
              <wp:lineTo x="0" y="21123"/>
              <wp:lineTo x="21395" y="21123"/>
              <wp:lineTo x="2139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1538605" cy="6038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41D34D1" wp14:editId="7F800D97">
          <wp:extent cx="3467100" cy="628650"/>
          <wp:effectExtent l="0" t="0" r="0" b="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2">
                    <a:extLst>
                      <a:ext uri="{28A0092B-C50C-407E-A947-70E740481C1C}">
                        <a14:useLocalDpi xmlns:a14="http://schemas.microsoft.com/office/drawing/2010/main" val="0"/>
                      </a:ext>
                    </a:extLst>
                  </a:blip>
                  <a:srcRect t="44717" r="34892" b="43477"/>
                  <a:stretch/>
                </pic:blipFill>
                <pic:spPr bwMode="auto">
                  <a:xfrm>
                    <a:off x="0" y="0"/>
                    <a:ext cx="3467100" cy="6286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4704591">
    <w:abstractNumId w:val="0"/>
  </w:num>
  <w:num w:numId="2" w16cid:durableId="176359381">
    <w:abstractNumId w:val="1"/>
  </w:num>
  <w:num w:numId="3" w16cid:durableId="30732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006"/>
    <w:rsid w:val="0001239C"/>
    <w:rsid w:val="000127F3"/>
    <w:rsid w:val="00015FDB"/>
    <w:rsid w:val="00020A0F"/>
    <w:rsid w:val="00023B89"/>
    <w:rsid w:val="000246A3"/>
    <w:rsid w:val="000403C6"/>
    <w:rsid w:val="00044E26"/>
    <w:rsid w:val="0005571C"/>
    <w:rsid w:val="0006441F"/>
    <w:rsid w:val="000661DE"/>
    <w:rsid w:val="0008041C"/>
    <w:rsid w:val="000833E0"/>
    <w:rsid w:val="00096BB8"/>
    <w:rsid w:val="000B0968"/>
    <w:rsid w:val="000B2E42"/>
    <w:rsid w:val="000B40E9"/>
    <w:rsid w:val="000C5A52"/>
    <w:rsid w:val="000D07E0"/>
    <w:rsid w:val="000D094A"/>
    <w:rsid w:val="000D0AC3"/>
    <w:rsid w:val="000F7479"/>
    <w:rsid w:val="00100E33"/>
    <w:rsid w:val="00105B05"/>
    <w:rsid w:val="0011344A"/>
    <w:rsid w:val="00115CA3"/>
    <w:rsid w:val="00123307"/>
    <w:rsid w:val="00134F8D"/>
    <w:rsid w:val="00136AC8"/>
    <w:rsid w:val="001408C0"/>
    <w:rsid w:val="0015047D"/>
    <w:rsid w:val="0016045E"/>
    <w:rsid w:val="00162B39"/>
    <w:rsid w:val="00172B2C"/>
    <w:rsid w:val="00176A69"/>
    <w:rsid w:val="001835AC"/>
    <w:rsid w:val="00185563"/>
    <w:rsid w:val="0019432C"/>
    <w:rsid w:val="00195133"/>
    <w:rsid w:val="001A14C2"/>
    <w:rsid w:val="001A2414"/>
    <w:rsid w:val="001A25FF"/>
    <w:rsid w:val="001A3B61"/>
    <w:rsid w:val="001B7F90"/>
    <w:rsid w:val="001C1D40"/>
    <w:rsid w:val="001D10B3"/>
    <w:rsid w:val="001D2376"/>
    <w:rsid w:val="001D24A4"/>
    <w:rsid w:val="001E145E"/>
    <w:rsid w:val="001E6F7D"/>
    <w:rsid w:val="001F694D"/>
    <w:rsid w:val="00202659"/>
    <w:rsid w:val="0020268D"/>
    <w:rsid w:val="00206526"/>
    <w:rsid w:val="002074AC"/>
    <w:rsid w:val="00211BDA"/>
    <w:rsid w:val="00214934"/>
    <w:rsid w:val="002232A1"/>
    <w:rsid w:val="00243FC4"/>
    <w:rsid w:val="00245789"/>
    <w:rsid w:val="00246CCD"/>
    <w:rsid w:val="00247709"/>
    <w:rsid w:val="0025678C"/>
    <w:rsid w:val="00263AD6"/>
    <w:rsid w:val="00267761"/>
    <w:rsid w:val="00287CED"/>
    <w:rsid w:val="002B72BF"/>
    <w:rsid w:val="002C77BE"/>
    <w:rsid w:val="002D1821"/>
    <w:rsid w:val="002D43AD"/>
    <w:rsid w:val="002D67E6"/>
    <w:rsid w:val="002D6E8E"/>
    <w:rsid w:val="002E3C8F"/>
    <w:rsid w:val="002E69CE"/>
    <w:rsid w:val="003011A4"/>
    <w:rsid w:val="003062BC"/>
    <w:rsid w:val="00306BC9"/>
    <w:rsid w:val="003118AB"/>
    <w:rsid w:val="0034475B"/>
    <w:rsid w:val="003712EF"/>
    <w:rsid w:val="00374F28"/>
    <w:rsid w:val="0037579C"/>
    <w:rsid w:val="00377921"/>
    <w:rsid w:val="003C0EBE"/>
    <w:rsid w:val="003C5A36"/>
    <w:rsid w:val="003D21DF"/>
    <w:rsid w:val="003D756D"/>
    <w:rsid w:val="00401F74"/>
    <w:rsid w:val="00410120"/>
    <w:rsid w:val="00413E9B"/>
    <w:rsid w:val="0041544A"/>
    <w:rsid w:val="00424B0D"/>
    <w:rsid w:val="00432165"/>
    <w:rsid w:val="0043382F"/>
    <w:rsid w:val="0046116B"/>
    <w:rsid w:val="00481F4D"/>
    <w:rsid w:val="00492DDE"/>
    <w:rsid w:val="00495D4A"/>
    <w:rsid w:val="004977D2"/>
    <w:rsid w:val="004B14A5"/>
    <w:rsid w:val="004C37B7"/>
    <w:rsid w:val="004C48ED"/>
    <w:rsid w:val="004D60BA"/>
    <w:rsid w:val="004E29EF"/>
    <w:rsid w:val="004E387D"/>
    <w:rsid w:val="004E3DDE"/>
    <w:rsid w:val="004F0A2C"/>
    <w:rsid w:val="004F1C79"/>
    <w:rsid w:val="004F2150"/>
    <w:rsid w:val="004F3039"/>
    <w:rsid w:val="004F3BE9"/>
    <w:rsid w:val="004F7329"/>
    <w:rsid w:val="005062F7"/>
    <w:rsid w:val="005073F1"/>
    <w:rsid w:val="00507644"/>
    <w:rsid w:val="005079D0"/>
    <w:rsid w:val="00512922"/>
    <w:rsid w:val="00516057"/>
    <w:rsid w:val="00525726"/>
    <w:rsid w:val="00547AF9"/>
    <w:rsid w:val="0055075C"/>
    <w:rsid w:val="0055767E"/>
    <w:rsid w:val="00563469"/>
    <w:rsid w:val="005634BC"/>
    <w:rsid w:val="00572D4A"/>
    <w:rsid w:val="0058020B"/>
    <w:rsid w:val="0058367F"/>
    <w:rsid w:val="005872A0"/>
    <w:rsid w:val="00587D0E"/>
    <w:rsid w:val="00594BD8"/>
    <w:rsid w:val="0059767C"/>
    <w:rsid w:val="005A0916"/>
    <w:rsid w:val="005A111B"/>
    <w:rsid w:val="005B0E86"/>
    <w:rsid w:val="005C533B"/>
    <w:rsid w:val="005E4EB5"/>
    <w:rsid w:val="005E5A47"/>
    <w:rsid w:val="00603F18"/>
    <w:rsid w:val="0061766E"/>
    <w:rsid w:val="006258FB"/>
    <w:rsid w:val="00625C11"/>
    <w:rsid w:val="006262D2"/>
    <w:rsid w:val="00627EDB"/>
    <w:rsid w:val="00631BCB"/>
    <w:rsid w:val="00644A5A"/>
    <w:rsid w:val="006616BE"/>
    <w:rsid w:val="006679B2"/>
    <w:rsid w:val="00677729"/>
    <w:rsid w:val="00680D18"/>
    <w:rsid w:val="006863D0"/>
    <w:rsid w:val="00693282"/>
    <w:rsid w:val="006B0CEC"/>
    <w:rsid w:val="006B2EB2"/>
    <w:rsid w:val="006C58BE"/>
    <w:rsid w:val="006D31D8"/>
    <w:rsid w:val="0071156E"/>
    <w:rsid w:val="0071381F"/>
    <w:rsid w:val="00713D20"/>
    <w:rsid w:val="00734B7D"/>
    <w:rsid w:val="007376E7"/>
    <w:rsid w:val="0074366F"/>
    <w:rsid w:val="00745364"/>
    <w:rsid w:val="00745A7B"/>
    <w:rsid w:val="0076578D"/>
    <w:rsid w:val="00786615"/>
    <w:rsid w:val="00794DDC"/>
    <w:rsid w:val="007A17A2"/>
    <w:rsid w:val="007A1CD0"/>
    <w:rsid w:val="007A4423"/>
    <w:rsid w:val="007B698C"/>
    <w:rsid w:val="007C5570"/>
    <w:rsid w:val="007D2596"/>
    <w:rsid w:val="007F0624"/>
    <w:rsid w:val="007F30E2"/>
    <w:rsid w:val="008018C5"/>
    <w:rsid w:val="008170F0"/>
    <w:rsid w:val="00837A76"/>
    <w:rsid w:val="0085102D"/>
    <w:rsid w:val="008535C7"/>
    <w:rsid w:val="00854542"/>
    <w:rsid w:val="00854923"/>
    <w:rsid w:val="00861B7A"/>
    <w:rsid w:val="00881AB2"/>
    <w:rsid w:val="00894729"/>
    <w:rsid w:val="0089621D"/>
    <w:rsid w:val="0089685C"/>
    <w:rsid w:val="008A0E8A"/>
    <w:rsid w:val="008B0A0F"/>
    <w:rsid w:val="008B2BF5"/>
    <w:rsid w:val="008C60D4"/>
    <w:rsid w:val="008C73FD"/>
    <w:rsid w:val="008D26D0"/>
    <w:rsid w:val="008E1ACE"/>
    <w:rsid w:val="008F269A"/>
    <w:rsid w:val="008F4551"/>
    <w:rsid w:val="008F6282"/>
    <w:rsid w:val="00907495"/>
    <w:rsid w:val="00911ADD"/>
    <w:rsid w:val="00913FCE"/>
    <w:rsid w:val="00914E09"/>
    <w:rsid w:val="00914ED6"/>
    <w:rsid w:val="00925DB9"/>
    <w:rsid w:val="00945F1A"/>
    <w:rsid w:val="00964EE7"/>
    <w:rsid w:val="00967C88"/>
    <w:rsid w:val="00980D9E"/>
    <w:rsid w:val="00981D3D"/>
    <w:rsid w:val="00982B81"/>
    <w:rsid w:val="00990BE3"/>
    <w:rsid w:val="00991B50"/>
    <w:rsid w:val="00996297"/>
    <w:rsid w:val="00997486"/>
    <w:rsid w:val="0099793C"/>
    <w:rsid w:val="009A2719"/>
    <w:rsid w:val="009A5024"/>
    <w:rsid w:val="009B0CB9"/>
    <w:rsid w:val="009B2260"/>
    <w:rsid w:val="009B3485"/>
    <w:rsid w:val="009B34EB"/>
    <w:rsid w:val="009B5C3F"/>
    <w:rsid w:val="009C39C6"/>
    <w:rsid w:val="009C4A55"/>
    <w:rsid w:val="009C4B26"/>
    <w:rsid w:val="009D083B"/>
    <w:rsid w:val="009D58F8"/>
    <w:rsid w:val="009D5DC6"/>
    <w:rsid w:val="009D782E"/>
    <w:rsid w:val="009D7CB7"/>
    <w:rsid w:val="009E385B"/>
    <w:rsid w:val="00A10206"/>
    <w:rsid w:val="00A10846"/>
    <w:rsid w:val="00A143B2"/>
    <w:rsid w:val="00A1710C"/>
    <w:rsid w:val="00A237F3"/>
    <w:rsid w:val="00A42F8E"/>
    <w:rsid w:val="00A52585"/>
    <w:rsid w:val="00A579FB"/>
    <w:rsid w:val="00A61578"/>
    <w:rsid w:val="00A64487"/>
    <w:rsid w:val="00A70AB9"/>
    <w:rsid w:val="00A816C8"/>
    <w:rsid w:val="00A906F0"/>
    <w:rsid w:val="00A93804"/>
    <w:rsid w:val="00A94E20"/>
    <w:rsid w:val="00A9686E"/>
    <w:rsid w:val="00A976CF"/>
    <w:rsid w:val="00AB0FFA"/>
    <w:rsid w:val="00AC527D"/>
    <w:rsid w:val="00AD12DA"/>
    <w:rsid w:val="00AD7B93"/>
    <w:rsid w:val="00AE10BF"/>
    <w:rsid w:val="00AE34AF"/>
    <w:rsid w:val="00AF5DF3"/>
    <w:rsid w:val="00B069CA"/>
    <w:rsid w:val="00B07E73"/>
    <w:rsid w:val="00B272C1"/>
    <w:rsid w:val="00B27345"/>
    <w:rsid w:val="00B31E73"/>
    <w:rsid w:val="00B41B60"/>
    <w:rsid w:val="00B46A84"/>
    <w:rsid w:val="00B523FB"/>
    <w:rsid w:val="00B54574"/>
    <w:rsid w:val="00B56E44"/>
    <w:rsid w:val="00B57822"/>
    <w:rsid w:val="00B61CF3"/>
    <w:rsid w:val="00B73C7C"/>
    <w:rsid w:val="00B901C8"/>
    <w:rsid w:val="00BA5173"/>
    <w:rsid w:val="00BB6B94"/>
    <w:rsid w:val="00BC4685"/>
    <w:rsid w:val="00BC5DCA"/>
    <w:rsid w:val="00BC6CF0"/>
    <w:rsid w:val="00BD26FF"/>
    <w:rsid w:val="00BD74C3"/>
    <w:rsid w:val="00BE126A"/>
    <w:rsid w:val="00BE75A5"/>
    <w:rsid w:val="00BF3C1D"/>
    <w:rsid w:val="00C00E9B"/>
    <w:rsid w:val="00C202F5"/>
    <w:rsid w:val="00C23FA6"/>
    <w:rsid w:val="00C24901"/>
    <w:rsid w:val="00C334EF"/>
    <w:rsid w:val="00C34D75"/>
    <w:rsid w:val="00C35BE9"/>
    <w:rsid w:val="00C42C0B"/>
    <w:rsid w:val="00C520FA"/>
    <w:rsid w:val="00C566C4"/>
    <w:rsid w:val="00C61685"/>
    <w:rsid w:val="00C73ECA"/>
    <w:rsid w:val="00C77EDC"/>
    <w:rsid w:val="00C810D4"/>
    <w:rsid w:val="00C818B8"/>
    <w:rsid w:val="00C87382"/>
    <w:rsid w:val="00CA254B"/>
    <w:rsid w:val="00CA3AFC"/>
    <w:rsid w:val="00CA420F"/>
    <w:rsid w:val="00CB19A5"/>
    <w:rsid w:val="00CB3E70"/>
    <w:rsid w:val="00CC15FE"/>
    <w:rsid w:val="00CC5C47"/>
    <w:rsid w:val="00CD21C6"/>
    <w:rsid w:val="00CD319D"/>
    <w:rsid w:val="00CD461A"/>
    <w:rsid w:val="00CF0403"/>
    <w:rsid w:val="00D013CE"/>
    <w:rsid w:val="00D019D7"/>
    <w:rsid w:val="00D0352B"/>
    <w:rsid w:val="00D154C7"/>
    <w:rsid w:val="00D22E38"/>
    <w:rsid w:val="00D3455C"/>
    <w:rsid w:val="00D40E54"/>
    <w:rsid w:val="00D41FFA"/>
    <w:rsid w:val="00D47A5A"/>
    <w:rsid w:val="00D77B4D"/>
    <w:rsid w:val="00D84C41"/>
    <w:rsid w:val="00D878B6"/>
    <w:rsid w:val="00D90200"/>
    <w:rsid w:val="00DA44D2"/>
    <w:rsid w:val="00DB3712"/>
    <w:rsid w:val="00DB7F49"/>
    <w:rsid w:val="00DC4B9C"/>
    <w:rsid w:val="00DD5F91"/>
    <w:rsid w:val="00DF0988"/>
    <w:rsid w:val="00DF61C4"/>
    <w:rsid w:val="00E05775"/>
    <w:rsid w:val="00E11EDF"/>
    <w:rsid w:val="00E13473"/>
    <w:rsid w:val="00E15211"/>
    <w:rsid w:val="00E16A57"/>
    <w:rsid w:val="00E241A7"/>
    <w:rsid w:val="00E36F4A"/>
    <w:rsid w:val="00E402E3"/>
    <w:rsid w:val="00E46862"/>
    <w:rsid w:val="00E55D06"/>
    <w:rsid w:val="00E63873"/>
    <w:rsid w:val="00E653B0"/>
    <w:rsid w:val="00E669FB"/>
    <w:rsid w:val="00E73AE6"/>
    <w:rsid w:val="00E759EE"/>
    <w:rsid w:val="00E76235"/>
    <w:rsid w:val="00E83264"/>
    <w:rsid w:val="00E877EC"/>
    <w:rsid w:val="00E87F6E"/>
    <w:rsid w:val="00E97FB7"/>
    <w:rsid w:val="00EA2376"/>
    <w:rsid w:val="00EA4C80"/>
    <w:rsid w:val="00EB4114"/>
    <w:rsid w:val="00EB585F"/>
    <w:rsid w:val="00EB6019"/>
    <w:rsid w:val="00EC46E6"/>
    <w:rsid w:val="00EC4F3A"/>
    <w:rsid w:val="00EE3906"/>
    <w:rsid w:val="00EF0351"/>
    <w:rsid w:val="00F008D6"/>
    <w:rsid w:val="00F073F5"/>
    <w:rsid w:val="00F1190D"/>
    <w:rsid w:val="00F1317B"/>
    <w:rsid w:val="00F13216"/>
    <w:rsid w:val="00F14A80"/>
    <w:rsid w:val="00F15C59"/>
    <w:rsid w:val="00F2385D"/>
    <w:rsid w:val="00F430AA"/>
    <w:rsid w:val="00F455C0"/>
    <w:rsid w:val="00F5359D"/>
    <w:rsid w:val="00F557CF"/>
    <w:rsid w:val="00F55FA4"/>
    <w:rsid w:val="00F6243A"/>
    <w:rsid w:val="00F62C02"/>
    <w:rsid w:val="00F72EB4"/>
    <w:rsid w:val="00F75BDD"/>
    <w:rsid w:val="00F76B60"/>
    <w:rsid w:val="00F76C4A"/>
    <w:rsid w:val="00F77D35"/>
    <w:rsid w:val="00F8008C"/>
    <w:rsid w:val="00F801FE"/>
    <w:rsid w:val="00F93D65"/>
    <w:rsid w:val="00F9493A"/>
    <w:rsid w:val="00FA3E38"/>
    <w:rsid w:val="00FB40A5"/>
    <w:rsid w:val="00FB58AF"/>
    <w:rsid w:val="00FD26AF"/>
    <w:rsid w:val="00FD3C15"/>
    <w:rsid w:val="00FD7529"/>
    <w:rsid w:val="00FE2429"/>
    <w:rsid w:val="00FE73C3"/>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A303"/>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Expanded" w:eastAsia="Encode Sans Expanded Expanded" w:hAnsi="Encode Sans Expanded Expanded" w:cs="Encode Sans Expanded Expanded"/>
        <w:sz w:val="24"/>
        <w:szCs w:val="24"/>
        <w:lang w:val="fr-FR"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fr-FR"/>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CD00D9"/>
    <w:rPr>
      <w:sz w:val="20"/>
      <w:szCs w:val="20"/>
      <w:lang w:val="fr-FR"/>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fr-FR"/>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 w:id="175139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fr/groupe/dare-forward-2030" TargetMode="External"/><Relationship Id="rId18" Type="http://schemas.openxmlformats.org/officeDocument/2006/relationships/hyperlink" Target="https://www.stellantis.com/fr/actualite/communiques-de-presse/2023/janvier/stellantis-signe-un-accord-avec-element-25-limited-pour-l-approvisionnement-en-sulfate-de-manganese-des-batteries-de-vehicules-electrique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tellantis.com/fr" TargetMode="External"/><Relationship Id="rId17" Type="http://schemas.openxmlformats.org/officeDocument/2006/relationships/hyperlink" Target="https://www.stellantis.com/fr/actualite/communiques-de-presse/2022/juin/stellantis-etend-son-partenariat-avec-vulcan-energy-et-devient-actionnaire-de-cette-societe-de-production-de-lithium-decarbone" TargetMode="External"/><Relationship Id="rId2" Type="http://schemas.openxmlformats.org/officeDocument/2006/relationships/customXml" Target="../customXml/item2.xml"/><Relationship Id="rId16" Type="http://schemas.openxmlformats.org/officeDocument/2006/relationships/hyperlink" Target="https://www.stellantis.com/fr/actualite/communiques-de-presse/2023/janvier/stellantis-et-terrafame-signent-un-accord-d-approvisionnement-en-sulfate-de-nickel-a-faible-teneur-en-carbone-pour-les-batteries-des-vehicules-electriqu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tellantis.com/fr/actualite/communiques-de-presse/2023/fevrier/stellantis-annonce-un-investissement-strategique-dans-le-cuivre-en-argentine-et-renouvelle-son-engagement-d-atteindre-la-neutralite-carbone-d-ici-2038"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tellantis.com/fr/actualite/communiques-de-presse/2022/juin/stellantis-signe-un-accord-avec-controlled-thermal-resources-sur-un-approvisionnement-en-lithium-a-faibles-emissions-pour-la-production-de-ses-vehicules-electriques-en-amerique-du-no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ellantis.com/fr/actualite/communiques-de-presse/2023/avril/stellantis-signe-un-accord-et-investit-dans-alliance-nickel-pour-l-approvisionnement-en-sulfate-de-nickel-et-de-cobalt-de-qualite-batter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e83976-2786-4baf-b08e-00a48c2fb172"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395D73A2DD34A24180E085FC997E7ACA" ma:contentTypeVersion="15" ma:contentTypeDescription="Crée un document." ma:contentTypeScope="" ma:versionID="bf2b3878cd43de77e04f35237ce716be">
  <xsd:schema xmlns:xsd="http://www.w3.org/2001/XMLSchema" xmlns:xs="http://www.w3.org/2001/XMLSchema" xmlns:p="http://schemas.microsoft.com/office/2006/metadata/properties" xmlns:ns3="d4e83976-2786-4baf-b08e-00a48c2fb172" xmlns:ns4="97f131a6-f914-4acb-bf3d-bae32f56eb30" targetNamespace="http://schemas.microsoft.com/office/2006/metadata/properties" ma:root="true" ma:fieldsID="4087c4632de275b25cc9ef08b5d918ab" ns3:_="" ns4:_="">
    <xsd:import namespace="d4e83976-2786-4baf-b08e-00a48c2fb172"/>
    <xsd:import namespace="97f131a6-f914-4acb-bf3d-bae32f56eb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3976-2786-4baf-b08e-00a48c2fb1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131a6-f914-4acb-bf3d-bae32f56eb3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2F190-91D8-4D8A-B276-AF57E93F3B33}">
  <ds:schemaRefs>
    <ds:schemaRef ds:uri="http://schemas.openxmlformats.org/officeDocument/2006/bibliography"/>
  </ds:schemaRefs>
</ds:datastoreItem>
</file>

<file path=customXml/itemProps2.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3.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 ds:uri="d4e83976-2786-4baf-b08e-00a48c2fb172"/>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04635A9A-BEF0-472B-BA99-820056987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3976-2786-4baf-b08e-00a48c2fb172"/>
    <ds:schemaRef ds:uri="97f131a6-f914-4acb-bf3d-bae32f56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1882</Words>
  <Characters>10729</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FCA US</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2</cp:revision>
  <cp:lastPrinted>2023-04-14T03:32:00Z</cp:lastPrinted>
  <dcterms:created xsi:type="dcterms:W3CDTF">2023-06-29T18:31:00Z</dcterms:created>
  <dcterms:modified xsi:type="dcterms:W3CDTF">2023-06-29T18:31:00Z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0x010100395D73A2DD34A24180E085FC997E7ACA</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y fmtid="{D5CDD505-2E9C-101B-9397-08002B2CF9AE}" pid="12" name="_NewReviewCycle">
    <vt:lpwstr/>
  </property>
  <property fmtid="{D5CDD505-2E9C-101B-9397-08002B2CF9AE}" pid="13" name="GrammarlyDocumentId">
    <vt:lpwstr>d7cff3caea233ec580b738a2523f845cce4e3a3842a284f86d04936a492e3310</vt:lpwstr>
  </property>
</Properties>
</file>