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D5C6" w14:textId="77777777" w:rsidR="00EE18C0" w:rsidRDefault="00EE18C0" w:rsidP="009C2BE4">
      <w:pPr>
        <w:spacing w:line="240" w:lineRule="auto"/>
        <w:rPr>
          <w:rFonts w:ascii="Arial" w:eastAsia="Arial" w:hAnsi="Arial" w:cs="Arial"/>
          <w:b/>
          <w:bCs/>
        </w:rPr>
      </w:pPr>
    </w:p>
    <w:p w14:paraId="5503E242" w14:textId="77777777" w:rsidR="0042183A" w:rsidRDefault="0042183A" w:rsidP="00C318D0">
      <w:pPr>
        <w:spacing w:line="240" w:lineRule="auto"/>
        <w:jc w:val="center"/>
        <w:rPr>
          <w:rFonts w:ascii="Arial" w:hAnsi="Arial"/>
          <w:b/>
          <w:bCs/>
          <w:sz w:val="24"/>
          <w:szCs w:val="24"/>
        </w:rPr>
      </w:pPr>
    </w:p>
    <w:p w14:paraId="23EBD720" w14:textId="22A2A796" w:rsidR="00C96E53" w:rsidRPr="00453FAA" w:rsidRDefault="00EE18C0" w:rsidP="00C318D0">
      <w:pPr>
        <w:spacing w:line="240" w:lineRule="auto"/>
        <w:jc w:val="center"/>
        <w:rPr>
          <w:rFonts w:ascii="Arial" w:eastAsia="Arial" w:hAnsi="Arial" w:cs="Arial"/>
          <w:b/>
          <w:bCs/>
          <w:sz w:val="24"/>
          <w:szCs w:val="24"/>
        </w:rPr>
      </w:pPr>
      <w:r w:rsidRPr="00453FAA">
        <w:rPr>
          <w:rFonts w:ascii="Arial" w:hAnsi="Arial"/>
          <w:b/>
          <w:bCs/>
          <w:sz w:val="24"/>
          <w:szCs w:val="24"/>
        </w:rPr>
        <w:t xml:space="preserve">Stellantis </w:t>
      </w:r>
      <w:r w:rsidR="00D92D5B" w:rsidRPr="00453FAA">
        <w:rPr>
          <w:rFonts w:ascii="Arial" w:hAnsi="Arial"/>
          <w:b/>
          <w:bCs/>
          <w:sz w:val="24"/>
          <w:szCs w:val="24"/>
        </w:rPr>
        <w:t xml:space="preserve">entre à parts égales avec Faurecia et Michelin </w:t>
      </w:r>
      <w:r w:rsidRPr="00453FAA">
        <w:rPr>
          <w:rFonts w:ascii="Arial" w:hAnsi="Arial"/>
          <w:b/>
          <w:bCs/>
          <w:sz w:val="24"/>
          <w:szCs w:val="24"/>
        </w:rPr>
        <w:t xml:space="preserve">au capital de </w:t>
      </w:r>
      <w:proofErr w:type="spellStart"/>
      <w:r w:rsidRPr="00453FAA">
        <w:rPr>
          <w:rFonts w:ascii="Arial" w:hAnsi="Arial"/>
          <w:b/>
          <w:bCs/>
          <w:sz w:val="24"/>
          <w:szCs w:val="24"/>
        </w:rPr>
        <w:t>Symbio</w:t>
      </w:r>
      <w:proofErr w:type="spellEnd"/>
      <w:r w:rsidRPr="00453FAA">
        <w:rPr>
          <w:rFonts w:ascii="Arial" w:hAnsi="Arial"/>
          <w:b/>
          <w:bCs/>
          <w:sz w:val="24"/>
          <w:szCs w:val="24"/>
        </w:rPr>
        <w:t>, leader de la mobilité hydrogène zéro émission</w:t>
      </w:r>
    </w:p>
    <w:p w14:paraId="024AE961" w14:textId="12489077" w:rsidR="00EE18C0" w:rsidRPr="00453FAA" w:rsidRDefault="00EE18C0" w:rsidP="00B736E3">
      <w:pPr>
        <w:spacing w:line="240" w:lineRule="auto"/>
        <w:jc w:val="both"/>
        <w:rPr>
          <w:rFonts w:ascii="Arial" w:eastAsia="Arial" w:hAnsi="Arial" w:cs="Arial"/>
        </w:rPr>
      </w:pPr>
    </w:p>
    <w:p w14:paraId="04DAE9DE" w14:textId="77777777" w:rsidR="00E66258" w:rsidRPr="00453FAA" w:rsidRDefault="00E66258" w:rsidP="00B736E3">
      <w:pPr>
        <w:spacing w:line="240" w:lineRule="auto"/>
        <w:jc w:val="both"/>
        <w:rPr>
          <w:rFonts w:ascii="Arial" w:eastAsia="Arial" w:hAnsi="Arial" w:cs="Arial"/>
        </w:rPr>
      </w:pPr>
    </w:p>
    <w:p w14:paraId="6588B5E8" w14:textId="185FB268" w:rsidR="00041ACB" w:rsidRPr="00453FAA" w:rsidRDefault="00C318D0" w:rsidP="007A2F47">
      <w:pPr>
        <w:pStyle w:val="xmsonormal"/>
        <w:jc w:val="both"/>
      </w:pPr>
      <w:r w:rsidRPr="00453FAA">
        <w:rPr>
          <w:rFonts w:ascii="Arial" w:hAnsi="Arial"/>
        </w:rPr>
        <w:t xml:space="preserve">AMSTERDAM, </w:t>
      </w:r>
      <w:r w:rsidR="00E66258" w:rsidRPr="00453FAA">
        <w:rPr>
          <w:rFonts w:ascii="Arial" w:hAnsi="Arial"/>
        </w:rPr>
        <w:t>NANTERRE,</w:t>
      </w:r>
      <w:r w:rsidR="00A90F0C">
        <w:rPr>
          <w:rFonts w:ascii="Arial" w:hAnsi="Arial"/>
        </w:rPr>
        <w:t xml:space="preserve"> PARIS,</w:t>
      </w:r>
      <w:r w:rsidR="00E66258" w:rsidRPr="00453FAA">
        <w:rPr>
          <w:rFonts w:ascii="Arial" w:hAnsi="Arial"/>
        </w:rPr>
        <w:t xml:space="preserve"> </w:t>
      </w:r>
      <w:r w:rsidRPr="00453FAA">
        <w:rPr>
          <w:rFonts w:ascii="Arial" w:hAnsi="Arial"/>
        </w:rPr>
        <w:t>le 1</w:t>
      </w:r>
      <w:r w:rsidR="00524D75" w:rsidRPr="00453FAA">
        <w:rPr>
          <w:rFonts w:ascii="Arial" w:hAnsi="Arial"/>
        </w:rPr>
        <w:t>6</w:t>
      </w:r>
      <w:r w:rsidRPr="00453FAA">
        <w:rPr>
          <w:rFonts w:ascii="Arial" w:hAnsi="Arial"/>
        </w:rPr>
        <w:t xml:space="preserve"> mai 2023 - Faurecia, une société du groupe FORVIA, Michelin et Stellantis annoncent aujourd’hui la signature d’un accord engageant </w:t>
      </w:r>
      <w:r w:rsidR="001771B8" w:rsidRPr="00453FAA">
        <w:rPr>
          <w:rFonts w:ascii="Arial" w:hAnsi="Arial"/>
        </w:rPr>
        <w:t>permettant à</w:t>
      </w:r>
      <w:r w:rsidRPr="00453FAA">
        <w:rPr>
          <w:rFonts w:ascii="Arial" w:hAnsi="Arial"/>
        </w:rPr>
        <w:t xml:space="preserve"> Stellantis </w:t>
      </w:r>
      <w:r w:rsidR="001771B8" w:rsidRPr="00453FAA">
        <w:rPr>
          <w:rFonts w:ascii="Arial" w:hAnsi="Arial"/>
        </w:rPr>
        <w:t xml:space="preserve">de prendre une participation de 33,3% </w:t>
      </w:r>
      <w:r w:rsidRPr="00453FAA">
        <w:rPr>
          <w:rFonts w:ascii="Arial" w:hAnsi="Arial"/>
        </w:rPr>
        <w:t xml:space="preserve">au capital de </w:t>
      </w:r>
      <w:proofErr w:type="spellStart"/>
      <w:r w:rsidRPr="00453FAA">
        <w:rPr>
          <w:rFonts w:ascii="Arial" w:hAnsi="Arial"/>
        </w:rPr>
        <w:t>Symbio</w:t>
      </w:r>
      <w:proofErr w:type="spellEnd"/>
      <w:r w:rsidRPr="00453FAA">
        <w:rPr>
          <w:rFonts w:ascii="Arial" w:hAnsi="Arial"/>
        </w:rPr>
        <w:t xml:space="preserve">, leader de la mobilité hydrogène zéro émission. Faurecia et Michelin resteront actionnaires à hauteur de 33,3 % chacun. </w:t>
      </w:r>
    </w:p>
    <w:p w14:paraId="6D6E52B9" w14:textId="77777777" w:rsidR="00A51511" w:rsidRPr="00453FAA" w:rsidRDefault="00A51511" w:rsidP="00B736E3">
      <w:pPr>
        <w:spacing w:line="240" w:lineRule="auto"/>
        <w:jc w:val="both"/>
      </w:pPr>
    </w:p>
    <w:p w14:paraId="741FE45B" w14:textId="0C5C59A4" w:rsidR="00275795" w:rsidRPr="00453FAA" w:rsidRDefault="00275795" w:rsidP="00275795">
      <w:pPr>
        <w:spacing w:line="240" w:lineRule="auto"/>
        <w:jc w:val="both"/>
        <w:rPr>
          <w:rFonts w:ascii="Arial" w:eastAsia="Arial" w:hAnsi="Arial" w:cs="Arial"/>
        </w:rPr>
      </w:pPr>
      <w:r w:rsidRPr="00453FAA">
        <w:rPr>
          <w:rFonts w:ascii="Arial" w:hAnsi="Arial"/>
        </w:rPr>
        <w:t>Cette annonce représente une avancée majeure pour la décarbonation du secteur de la mobilité et illustre l</w:t>
      </w:r>
      <w:r w:rsidR="005B203E" w:rsidRPr="00453FAA">
        <w:rPr>
          <w:rFonts w:ascii="Arial" w:hAnsi="Arial"/>
        </w:rPr>
        <w:t xml:space="preserve">e savoir-faire </w:t>
      </w:r>
      <w:r w:rsidRPr="00453FAA">
        <w:rPr>
          <w:rFonts w:ascii="Arial" w:hAnsi="Arial"/>
        </w:rPr>
        <w:t xml:space="preserve">technologique de </w:t>
      </w:r>
      <w:proofErr w:type="spellStart"/>
      <w:r w:rsidRPr="00453FAA">
        <w:rPr>
          <w:rFonts w:ascii="Arial" w:hAnsi="Arial"/>
        </w:rPr>
        <w:t>Symbio</w:t>
      </w:r>
      <w:proofErr w:type="spellEnd"/>
      <w:r w:rsidRPr="00453FAA">
        <w:rPr>
          <w:rFonts w:ascii="Arial" w:hAnsi="Arial"/>
        </w:rPr>
        <w:t xml:space="preserve"> en matière d</w:t>
      </w:r>
      <w:r w:rsidR="001771B8" w:rsidRPr="00453FAA">
        <w:rPr>
          <w:rFonts w:ascii="Arial" w:hAnsi="Arial"/>
        </w:rPr>
        <w:t xml:space="preserve">’innovations </w:t>
      </w:r>
      <w:r w:rsidRPr="00453FAA">
        <w:rPr>
          <w:rFonts w:ascii="Arial" w:hAnsi="Arial"/>
        </w:rPr>
        <w:t>d</w:t>
      </w:r>
      <w:r w:rsidR="001771B8" w:rsidRPr="00453FAA">
        <w:rPr>
          <w:rFonts w:ascii="Arial" w:hAnsi="Arial"/>
        </w:rPr>
        <w:t>ans les</w:t>
      </w:r>
      <w:r w:rsidRPr="00453FAA">
        <w:rPr>
          <w:rFonts w:ascii="Arial" w:hAnsi="Arial"/>
        </w:rPr>
        <w:t xml:space="preserve"> piles à hydrogène. L’entrée de Stellantis au capital de </w:t>
      </w:r>
      <w:proofErr w:type="spellStart"/>
      <w:r w:rsidRPr="00453FAA">
        <w:rPr>
          <w:rFonts w:ascii="Arial" w:hAnsi="Arial"/>
        </w:rPr>
        <w:t>Symbio</w:t>
      </w:r>
      <w:proofErr w:type="spellEnd"/>
      <w:r w:rsidRPr="00453FAA">
        <w:rPr>
          <w:rFonts w:ascii="Arial" w:hAnsi="Arial"/>
        </w:rPr>
        <w:t xml:space="preserve"> permettra à cette dernière de renforcer sa présence en Europe et aux États-Unis.</w:t>
      </w:r>
    </w:p>
    <w:p w14:paraId="14CB18B4" w14:textId="77777777" w:rsidR="00275795" w:rsidRPr="00453FAA" w:rsidRDefault="00275795" w:rsidP="00275795">
      <w:pPr>
        <w:spacing w:line="240" w:lineRule="auto"/>
        <w:jc w:val="both"/>
        <w:rPr>
          <w:rFonts w:ascii="Arial" w:eastAsia="Arial" w:hAnsi="Arial" w:cs="Arial"/>
        </w:rPr>
      </w:pPr>
    </w:p>
    <w:p w14:paraId="575E186F" w14:textId="25C95AB2" w:rsidR="00D03B91" w:rsidRPr="00453FAA" w:rsidRDefault="00D03B91" w:rsidP="00B736E3">
      <w:pPr>
        <w:spacing w:line="240" w:lineRule="auto"/>
        <w:jc w:val="both"/>
        <w:rPr>
          <w:rFonts w:ascii="Arial" w:hAnsi="Arial"/>
        </w:rPr>
      </w:pPr>
      <w:r w:rsidRPr="00453FAA">
        <w:rPr>
          <w:rFonts w:ascii="Arial" w:hAnsi="Arial"/>
        </w:rPr>
        <w:t>« </w:t>
      </w:r>
      <w:r w:rsidR="00F275DB" w:rsidRPr="00453FAA">
        <w:rPr>
          <w:rFonts w:ascii="Arial" w:hAnsi="Arial"/>
        </w:rPr>
        <w:t xml:space="preserve">Cette prise de </w:t>
      </w:r>
      <w:r w:rsidRPr="00453FAA">
        <w:rPr>
          <w:rFonts w:ascii="Arial" w:hAnsi="Arial"/>
        </w:rPr>
        <w:t xml:space="preserve">participation </w:t>
      </w:r>
      <w:r w:rsidR="00F275DB" w:rsidRPr="00453FAA">
        <w:rPr>
          <w:rFonts w:ascii="Arial" w:hAnsi="Arial"/>
        </w:rPr>
        <w:t xml:space="preserve">à part égale </w:t>
      </w:r>
      <w:r w:rsidRPr="00453FAA">
        <w:rPr>
          <w:rFonts w:ascii="Arial" w:hAnsi="Arial"/>
        </w:rPr>
        <w:t xml:space="preserve">dans </w:t>
      </w:r>
      <w:proofErr w:type="spellStart"/>
      <w:r w:rsidRPr="00453FAA">
        <w:rPr>
          <w:rFonts w:ascii="Arial" w:hAnsi="Arial"/>
        </w:rPr>
        <w:t>Symbi</w:t>
      </w:r>
      <w:r w:rsidR="00F275DB" w:rsidRPr="00453FAA">
        <w:rPr>
          <w:rFonts w:ascii="Arial" w:hAnsi="Arial"/>
        </w:rPr>
        <w:t>o</w:t>
      </w:r>
      <w:proofErr w:type="spellEnd"/>
      <w:r w:rsidRPr="00453FAA">
        <w:rPr>
          <w:rFonts w:ascii="Arial" w:hAnsi="Arial"/>
        </w:rPr>
        <w:t xml:space="preserve"> renforcera notre position de leader dans le domaine des véhicules à hydrogène </w:t>
      </w:r>
      <w:r w:rsidR="00F275DB" w:rsidRPr="00453FAA">
        <w:rPr>
          <w:rFonts w:ascii="Arial" w:hAnsi="Arial"/>
        </w:rPr>
        <w:t xml:space="preserve">et </w:t>
      </w:r>
      <w:r w:rsidRPr="00453FAA">
        <w:rPr>
          <w:rFonts w:ascii="Arial" w:hAnsi="Arial"/>
        </w:rPr>
        <w:t>sout</w:t>
      </w:r>
      <w:r w:rsidR="00F275DB" w:rsidRPr="00453FAA">
        <w:rPr>
          <w:rFonts w:ascii="Arial" w:hAnsi="Arial"/>
        </w:rPr>
        <w:t>iendra</w:t>
      </w:r>
      <w:r w:rsidRPr="00453FAA">
        <w:rPr>
          <w:rFonts w:ascii="Arial" w:hAnsi="Arial"/>
        </w:rPr>
        <w:t xml:space="preserve"> notre production d</w:t>
      </w:r>
      <w:r w:rsidR="00F275DB" w:rsidRPr="00453FAA">
        <w:rPr>
          <w:rFonts w:ascii="Arial" w:hAnsi="Arial"/>
        </w:rPr>
        <w:t>’utilitaires</w:t>
      </w:r>
      <w:r w:rsidRPr="00453FAA">
        <w:rPr>
          <w:rFonts w:ascii="Arial" w:hAnsi="Arial"/>
        </w:rPr>
        <w:t xml:space="preserve"> pile à combustible en France. Cette offre </w:t>
      </w:r>
      <w:r w:rsidR="00DE2DC5" w:rsidRPr="00453FAA">
        <w:rPr>
          <w:rFonts w:ascii="Arial" w:hAnsi="Arial"/>
        </w:rPr>
        <w:t xml:space="preserve">complètera </w:t>
      </w:r>
      <w:r w:rsidR="00F275DB" w:rsidRPr="00453FAA">
        <w:rPr>
          <w:rFonts w:ascii="Arial" w:hAnsi="Arial"/>
        </w:rPr>
        <w:t xml:space="preserve">parfaitement </w:t>
      </w:r>
      <w:r w:rsidRPr="00453FAA">
        <w:rPr>
          <w:rFonts w:ascii="Arial" w:hAnsi="Arial"/>
        </w:rPr>
        <w:t xml:space="preserve">notre portefeuille croissant de </w:t>
      </w:r>
      <w:r w:rsidR="00F275DB" w:rsidRPr="00453FAA">
        <w:rPr>
          <w:rFonts w:ascii="Arial" w:hAnsi="Arial"/>
        </w:rPr>
        <w:t xml:space="preserve">modèles </w:t>
      </w:r>
      <w:r w:rsidRPr="00453FAA">
        <w:rPr>
          <w:rFonts w:ascii="Arial" w:hAnsi="Arial"/>
        </w:rPr>
        <w:t>électriques</w:t>
      </w:r>
      <w:r w:rsidR="00F275DB" w:rsidRPr="00453FAA">
        <w:rPr>
          <w:rFonts w:ascii="Arial" w:hAnsi="Arial"/>
        </w:rPr>
        <w:t> »</w:t>
      </w:r>
      <w:r w:rsidRPr="00453FAA">
        <w:rPr>
          <w:rFonts w:ascii="Arial" w:hAnsi="Arial"/>
        </w:rPr>
        <w:t xml:space="preserve">, a déclaré Carlos Tavares, CEO de Stellantis. </w:t>
      </w:r>
      <w:r w:rsidR="00FA098F" w:rsidRPr="00453FAA">
        <w:rPr>
          <w:rFonts w:ascii="Arial" w:hAnsi="Arial"/>
        </w:rPr>
        <w:t>«</w:t>
      </w:r>
      <w:r w:rsidR="005B203E" w:rsidRPr="00453FAA">
        <w:rPr>
          <w:rFonts w:ascii="Arial" w:hAnsi="Arial"/>
        </w:rPr>
        <w:t xml:space="preserve"> </w:t>
      </w:r>
      <w:r w:rsidR="00DE2DC5" w:rsidRPr="00453FAA">
        <w:rPr>
          <w:rFonts w:ascii="Arial" w:hAnsi="Arial"/>
        </w:rPr>
        <w:t xml:space="preserve">En plein déploiement de </w:t>
      </w:r>
      <w:r w:rsidRPr="00453FAA">
        <w:rPr>
          <w:rFonts w:ascii="Arial" w:hAnsi="Arial"/>
        </w:rPr>
        <w:t xml:space="preserve">notre plan Dare </w:t>
      </w:r>
      <w:proofErr w:type="spellStart"/>
      <w:r w:rsidRPr="00453FAA">
        <w:rPr>
          <w:rFonts w:ascii="Arial" w:hAnsi="Arial"/>
        </w:rPr>
        <w:t>Forward</w:t>
      </w:r>
      <w:proofErr w:type="spellEnd"/>
      <w:r w:rsidRPr="00453FAA">
        <w:rPr>
          <w:rFonts w:ascii="Arial" w:hAnsi="Arial"/>
        </w:rPr>
        <w:t xml:space="preserve"> 2030</w:t>
      </w:r>
      <w:r w:rsidR="00DE2DC5" w:rsidRPr="00453FAA">
        <w:rPr>
          <w:rFonts w:ascii="Arial" w:hAnsi="Arial"/>
        </w:rPr>
        <w:t xml:space="preserve"> et en route pour atteindre la neutralité carbone à l’horizon 2038, </w:t>
      </w:r>
      <w:r w:rsidRPr="00453FAA">
        <w:rPr>
          <w:rFonts w:ascii="Arial" w:hAnsi="Arial"/>
        </w:rPr>
        <w:t>nous envisageons tou</w:t>
      </w:r>
      <w:r w:rsidR="00DE2DC5" w:rsidRPr="00453FAA">
        <w:rPr>
          <w:rFonts w:ascii="Arial" w:hAnsi="Arial"/>
        </w:rPr>
        <w:t>te</w:t>
      </w:r>
      <w:r w:rsidRPr="00453FAA">
        <w:rPr>
          <w:rFonts w:ascii="Arial" w:hAnsi="Arial"/>
        </w:rPr>
        <w:t xml:space="preserve">s les </w:t>
      </w:r>
      <w:r w:rsidR="00DE2DC5" w:rsidRPr="00453FAA">
        <w:rPr>
          <w:rFonts w:ascii="Arial" w:hAnsi="Arial"/>
        </w:rPr>
        <w:t xml:space="preserve">solutions </w:t>
      </w:r>
      <w:r w:rsidRPr="00453FAA">
        <w:rPr>
          <w:rFonts w:ascii="Arial" w:hAnsi="Arial"/>
        </w:rPr>
        <w:t xml:space="preserve">technologiques à notre disposition pour lutter contre le réchauffement climatique. Les piles à </w:t>
      </w:r>
      <w:r w:rsidR="00DE2DC5" w:rsidRPr="00453FAA">
        <w:rPr>
          <w:rFonts w:ascii="Arial" w:hAnsi="Arial"/>
        </w:rPr>
        <w:t xml:space="preserve">combustible à </w:t>
      </w:r>
      <w:r w:rsidRPr="00453FAA">
        <w:rPr>
          <w:rFonts w:ascii="Arial" w:hAnsi="Arial"/>
        </w:rPr>
        <w:t xml:space="preserve">hydrogène sont </w:t>
      </w:r>
      <w:r w:rsidR="00F275DB" w:rsidRPr="00453FAA">
        <w:rPr>
          <w:rFonts w:ascii="Arial" w:hAnsi="Arial"/>
        </w:rPr>
        <w:t>essentielles</w:t>
      </w:r>
      <w:r w:rsidRPr="00453FAA">
        <w:rPr>
          <w:rFonts w:ascii="Arial" w:hAnsi="Arial"/>
        </w:rPr>
        <w:t xml:space="preserve"> et </w:t>
      </w:r>
      <w:proofErr w:type="spellStart"/>
      <w:r w:rsidRPr="00453FAA">
        <w:rPr>
          <w:rFonts w:ascii="Arial" w:hAnsi="Arial"/>
        </w:rPr>
        <w:t>Symbio</w:t>
      </w:r>
      <w:proofErr w:type="spellEnd"/>
      <w:r w:rsidRPr="00453FAA">
        <w:rPr>
          <w:rFonts w:ascii="Arial" w:hAnsi="Arial"/>
        </w:rPr>
        <w:t xml:space="preserve"> deviendra un acteur important</w:t>
      </w:r>
      <w:r w:rsidR="005B203E" w:rsidRPr="00453FAA">
        <w:rPr>
          <w:rFonts w:ascii="Arial" w:hAnsi="Arial"/>
        </w:rPr>
        <w:t xml:space="preserve"> dans ce combat</w:t>
      </w:r>
      <w:r w:rsidRPr="00453FAA">
        <w:rPr>
          <w:rFonts w:ascii="Arial" w:hAnsi="Arial"/>
        </w:rPr>
        <w:t xml:space="preserve"> </w:t>
      </w:r>
      <w:r w:rsidR="00FA098F" w:rsidRPr="00453FAA">
        <w:rPr>
          <w:rFonts w:ascii="Arial" w:hAnsi="Arial"/>
        </w:rPr>
        <w:t>pour protéger les générations à venir.</w:t>
      </w:r>
      <w:r w:rsidR="00751CBC">
        <w:rPr>
          <w:rFonts w:ascii="Arial" w:hAnsi="Arial"/>
        </w:rPr>
        <w:t> »</w:t>
      </w:r>
    </w:p>
    <w:p w14:paraId="1E9FCBC2" w14:textId="77777777" w:rsidR="00B736E3" w:rsidRPr="00453FAA" w:rsidRDefault="00B736E3" w:rsidP="00B736E3">
      <w:pPr>
        <w:spacing w:line="240" w:lineRule="auto"/>
        <w:jc w:val="both"/>
        <w:rPr>
          <w:rFonts w:ascii="Arial" w:eastAsia="Arial" w:hAnsi="Arial" w:cs="Arial"/>
        </w:rPr>
      </w:pPr>
    </w:p>
    <w:p w14:paraId="73589CED" w14:textId="4E68245B" w:rsidR="00B736E3" w:rsidRPr="00453FAA" w:rsidRDefault="00B736E3" w:rsidP="00B736E3">
      <w:pPr>
        <w:spacing w:line="240" w:lineRule="auto"/>
        <w:jc w:val="both"/>
        <w:rPr>
          <w:rFonts w:ascii="Arial" w:eastAsia="Arial" w:hAnsi="Arial" w:cs="Arial"/>
        </w:rPr>
      </w:pPr>
      <w:proofErr w:type="spellStart"/>
      <w:r w:rsidRPr="00453FAA">
        <w:rPr>
          <w:rFonts w:ascii="Arial" w:hAnsi="Arial"/>
        </w:rPr>
        <w:t>Symbio</w:t>
      </w:r>
      <w:proofErr w:type="spellEnd"/>
      <w:r w:rsidRPr="00453FAA">
        <w:rPr>
          <w:rFonts w:ascii="Arial" w:hAnsi="Arial"/>
        </w:rPr>
        <w:t xml:space="preserve"> prévoit de produire chaque année 50 000 piles à combustible d’ici 2025, notamment grâce à sa </w:t>
      </w:r>
      <w:proofErr w:type="spellStart"/>
      <w:r w:rsidRPr="00453FAA">
        <w:rPr>
          <w:rFonts w:ascii="Arial" w:hAnsi="Arial"/>
        </w:rPr>
        <w:t>gigafactory</w:t>
      </w:r>
      <w:proofErr w:type="spellEnd"/>
      <w:r w:rsidRPr="00453FAA">
        <w:rPr>
          <w:rFonts w:ascii="Arial" w:hAnsi="Arial"/>
        </w:rPr>
        <w:t xml:space="preserve"> dernière génération de Saint-Fons, dont le démarrage est prévu pour le deuxième semestre 2023. En 2022, </w:t>
      </w:r>
      <w:proofErr w:type="spellStart"/>
      <w:r w:rsidRPr="00453FAA">
        <w:rPr>
          <w:rFonts w:ascii="Arial" w:hAnsi="Arial"/>
        </w:rPr>
        <w:t>Symbio</w:t>
      </w:r>
      <w:proofErr w:type="spellEnd"/>
      <w:r w:rsidRPr="00453FAA">
        <w:rPr>
          <w:rFonts w:ascii="Arial" w:hAnsi="Arial"/>
        </w:rPr>
        <w:t xml:space="preserve"> a annoncé la mise en œuvre de son projet </w:t>
      </w:r>
      <w:proofErr w:type="spellStart"/>
      <w:r w:rsidRPr="00453FAA">
        <w:rPr>
          <w:rFonts w:ascii="Arial" w:hAnsi="Arial"/>
        </w:rPr>
        <w:t>HyMotive</w:t>
      </w:r>
      <w:proofErr w:type="spellEnd"/>
      <w:r w:rsidRPr="00453FAA">
        <w:rPr>
          <w:rFonts w:ascii="Arial" w:hAnsi="Arial"/>
        </w:rPr>
        <w:t xml:space="preserve"> </w:t>
      </w:r>
      <w:r w:rsidR="00F275DB" w:rsidRPr="00453FAA">
        <w:rPr>
          <w:rFonts w:ascii="Arial" w:hAnsi="Arial"/>
        </w:rPr>
        <w:t>pour</w:t>
      </w:r>
      <w:r w:rsidRPr="00453FAA">
        <w:rPr>
          <w:rFonts w:ascii="Arial" w:hAnsi="Arial"/>
        </w:rPr>
        <w:t xml:space="preserve"> accélérer son industrialisation et le développement d’innovations disruptives, un projet qui permettra à l’entreprise d’atteindre une capacité de production annuelle totale en France de 100 000 systèmes d’ici 2028 avec la création de 1 000 emplois </w:t>
      </w:r>
      <w:r w:rsidR="005B203E" w:rsidRPr="00453FAA">
        <w:rPr>
          <w:rFonts w:ascii="Arial" w:hAnsi="Arial"/>
        </w:rPr>
        <w:t>dans l</w:t>
      </w:r>
      <w:r w:rsidR="00524D75" w:rsidRPr="00453FAA">
        <w:rPr>
          <w:rFonts w:ascii="Arial" w:hAnsi="Arial"/>
        </w:rPr>
        <w:t>e</w:t>
      </w:r>
      <w:r w:rsidR="005B203E" w:rsidRPr="00453FAA">
        <w:rPr>
          <w:rFonts w:ascii="Arial" w:hAnsi="Arial"/>
        </w:rPr>
        <w:t xml:space="preserve"> pays.</w:t>
      </w:r>
    </w:p>
    <w:p w14:paraId="34664C06" w14:textId="77777777" w:rsidR="00B736E3" w:rsidRPr="00453FAA" w:rsidRDefault="00B736E3" w:rsidP="00B736E3">
      <w:pPr>
        <w:spacing w:line="240" w:lineRule="auto"/>
        <w:jc w:val="both"/>
        <w:rPr>
          <w:rFonts w:ascii="Arial" w:eastAsia="Arial" w:hAnsi="Arial" w:cs="Arial"/>
        </w:rPr>
      </w:pPr>
    </w:p>
    <w:p w14:paraId="7EC01340" w14:textId="5659E94A" w:rsidR="00A66A3E" w:rsidRPr="00453FAA" w:rsidRDefault="00A66A3E" w:rsidP="00A66A3E">
      <w:pPr>
        <w:spacing w:line="240" w:lineRule="auto"/>
        <w:jc w:val="both"/>
        <w:rPr>
          <w:rFonts w:ascii="Arial" w:eastAsia="Arial" w:hAnsi="Arial" w:cs="Arial"/>
        </w:rPr>
      </w:pPr>
      <w:r w:rsidRPr="00453FAA">
        <w:rPr>
          <w:rFonts w:ascii="Arial" w:hAnsi="Arial"/>
        </w:rPr>
        <w:t xml:space="preserve">« Nous nous réjouissons de cette transaction qui renforcera les capacités actuelles de </w:t>
      </w:r>
      <w:proofErr w:type="spellStart"/>
      <w:r w:rsidRPr="00453FAA">
        <w:rPr>
          <w:rFonts w:ascii="Arial" w:hAnsi="Arial"/>
        </w:rPr>
        <w:t>Symbio</w:t>
      </w:r>
      <w:proofErr w:type="spellEnd"/>
      <w:r w:rsidRPr="00453FAA">
        <w:rPr>
          <w:rFonts w:ascii="Arial" w:hAnsi="Arial"/>
        </w:rPr>
        <w:t xml:space="preserve"> et donnera un élan supplémentaire à notre co-entreprise. </w:t>
      </w:r>
      <w:proofErr w:type="spellStart"/>
      <w:r w:rsidRPr="00453FAA">
        <w:rPr>
          <w:rFonts w:ascii="Arial" w:hAnsi="Arial"/>
        </w:rPr>
        <w:t>Symbio</w:t>
      </w:r>
      <w:proofErr w:type="spellEnd"/>
      <w:r w:rsidRPr="00453FAA">
        <w:rPr>
          <w:rFonts w:ascii="Arial" w:hAnsi="Arial"/>
        </w:rPr>
        <w:t xml:space="preserve"> est désormais parfaitement équipée pour développer et renforcer son leadership en dehors de l’Europe, à un moment où le secteur automobile accélère ses stratégies zéro émission », a déclaré Patrick Koller, </w:t>
      </w:r>
      <w:r w:rsidR="00F275DB" w:rsidRPr="00453FAA">
        <w:rPr>
          <w:rFonts w:ascii="Arial" w:hAnsi="Arial"/>
        </w:rPr>
        <w:t xml:space="preserve">CEO </w:t>
      </w:r>
      <w:r w:rsidRPr="00453FAA">
        <w:rPr>
          <w:rFonts w:ascii="Arial" w:hAnsi="Arial"/>
        </w:rPr>
        <w:t>de Faurecia. « Profitable pour toutes les parties, cet accord permet à FORVIA de confirmer son statut de leader mondial de la mobilité propre.</w:t>
      </w:r>
      <w:r w:rsidR="00751CBC">
        <w:rPr>
          <w:rFonts w:ascii="Arial" w:hAnsi="Arial"/>
        </w:rPr>
        <w:t xml:space="preserve"> </w:t>
      </w:r>
      <w:r w:rsidRPr="00453FAA">
        <w:rPr>
          <w:rFonts w:ascii="Arial" w:hAnsi="Arial"/>
        </w:rPr>
        <w:t>»</w:t>
      </w:r>
    </w:p>
    <w:p w14:paraId="484B032A" w14:textId="3ED7ED6E" w:rsidR="00B736E3" w:rsidRPr="00453FAA" w:rsidRDefault="00B736E3" w:rsidP="00B736E3">
      <w:pPr>
        <w:spacing w:line="240" w:lineRule="auto"/>
        <w:jc w:val="both"/>
        <w:rPr>
          <w:rFonts w:ascii="Arial" w:eastAsia="Arial" w:hAnsi="Arial" w:cs="Arial"/>
        </w:rPr>
      </w:pPr>
    </w:p>
    <w:p w14:paraId="4BE7D537" w14:textId="5F16664B" w:rsidR="00C96E53" w:rsidRPr="00453FAA" w:rsidRDefault="00EE18C0" w:rsidP="00B736E3">
      <w:pPr>
        <w:spacing w:line="240" w:lineRule="auto"/>
        <w:jc w:val="both"/>
        <w:rPr>
          <w:rFonts w:ascii="Arial" w:eastAsia="Arial" w:hAnsi="Arial" w:cs="Arial"/>
        </w:rPr>
      </w:pPr>
      <w:r w:rsidRPr="00453FAA">
        <w:rPr>
          <w:rFonts w:ascii="Arial" w:hAnsi="Arial"/>
        </w:rPr>
        <w:t xml:space="preserve">« L’entrée de Stellantis dans le capital de </w:t>
      </w:r>
      <w:proofErr w:type="spellStart"/>
      <w:r w:rsidRPr="00453FAA">
        <w:rPr>
          <w:rFonts w:ascii="Arial" w:hAnsi="Arial"/>
        </w:rPr>
        <w:t>Symbio</w:t>
      </w:r>
      <w:proofErr w:type="spellEnd"/>
      <w:r w:rsidRPr="00453FAA">
        <w:rPr>
          <w:rFonts w:ascii="Arial" w:hAnsi="Arial"/>
        </w:rPr>
        <w:t xml:space="preserve"> est un formidable </w:t>
      </w:r>
      <w:r w:rsidR="009C2BE4" w:rsidRPr="00453FAA">
        <w:rPr>
          <w:rFonts w:ascii="Arial" w:hAnsi="Arial"/>
        </w:rPr>
        <w:t>accélérateur</w:t>
      </w:r>
      <w:r w:rsidRPr="00453FAA">
        <w:rPr>
          <w:rFonts w:ascii="Arial" w:hAnsi="Arial"/>
        </w:rPr>
        <w:t xml:space="preserve"> de développement pour notre filiale commune », a déclaré Florent Menegaux, </w:t>
      </w:r>
      <w:r w:rsidR="00E66258" w:rsidRPr="00453FAA">
        <w:rPr>
          <w:rFonts w:ascii="Arial" w:hAnsi="Arial"/>
        </w:rPr>
        <w:t>Président</w:t>
      </w:r>
      <w:r w:rsidRPr="00453FAA">
        <w:rPr>
          <w:rFonts w:ascii="Arial" w:hAnsi="Arial"/>
        </w:rPr>
        <w:t xml:space="preserve"> de Michelin. « Cet accord démontre également </w:t>
      </w:r>
      <w:r w:rsidR="009C2BE4" w:rsidRPr="00453FAA">
        <w:rPr>
          <w:rFonts w:ascii="Arial" w:hAnsi="Arial"/>
        </w:rPr>
        <w:t xml:space="preserve">l’importance des </w:t>
      </w:r>
      <w:r w:rsidRPr="00453FAA">
        <w:rPr>
          <w:rFonts w:ascii="Arial" w:hAnsi="Arial"/>
        </w:rPr>
        <w:t xml:space="preserve">piles à hydrogène pour réussir l’électrification du secteur de la mobilité, et notamment pour les véhicules professionnels. Partenaire de choix, Stellantis jouera désormais un rôle essentiel à nos côtés. </w:t>
      </w:r>
      <w:r w:rsidR="009C2BE4" w:rsidRPr="00453FAA">
        <w:rPr>
          <w:rFonts w:ascii="Arial" w:hAnsi="Arial"/>
        </w:rPr>
        <w:t>Enfin, c</w:t>
      </w:r>
      <w:r w:rsidRPr="00453FAA">
        <w:rPr>
          <w:rFonts w:ascii="Arial" w:hAnsi="Arial"/>
        </w:rPr>
        <w:t>ette opération renforce la conviction de longue date de Michelin, à savoir que les piles à hydrogène font partie des solutions incontournables de la décarbonation. »</w:t>
      </w:r>
    </w:p>
    <w:p w14:paraId="64A97123" w14:textId="37CD5E79" w:rsidR="00EE18C0" w:rsidRPr="00453FAA" w:rsidRDefault="00EE18C0" w:rsidP="00B736E3">
      <w:pPr>
        <w:spacing w:line="240" w:lineRule="auto"/>
        <w:jc w:val="both"/>
        <w:rPr>
          <w:rFonts w:ascii="Arial" w:eastAsia="Arial" w:hAnsi="Arial" w:cs="Arial"/>
        </w:rPr>
      </w:pPr>
    </w:p>
    <w:p w14:paraId="2916DAE0" w14:textId="34E43478" w:rsidR="00EE18C0" w:rsidRPr="00453FAA" w:rsidRDefault="00EE18C0" w:rsidP="00EE18C0">
      <w:pPr>
        <w:spacing w:line="240" w:lineRule="auto"/>
        <w:jc w:val="both"/>
        <w:rPr>
          <w:rFonts w:ascii="Arial" w:eastAsia="Arial" w:hAnsi="Arial" w:cs="Arial"/>
        </w:rPr>
      </w:pPr>
      <w:r w:rsidRPr="00453FAA">
        <w:rPr>
          <w:rFonts w:ascii="Arial" w:hAnsi="Arial"/>
        </w:rPr>
        <w:t>Soumise aux approbations réglementaires habituelles, la conclusion de la transaction devrait avoir lieu au cours du troisième trimestre 2023.</w:t>
      </w:r>
    </w:p>
    <w:p w14:paraId="5CAE1834" w14:textId="77777777" w:rsidR="00EE18C0" w:rsidRPr="00453FAA" w:rsidRDefault="00EE18C0" w:rsidP="00B736E3">
      <w:pPr>
        <w:spacing w:line="240" w:lineRule="auto"/>
        <w:jc w:val="both"/>
        <w:rPr>
          <w:rFonts w:ascii="Arial" w:eastAsia="Arial" w:hAnsi="Arial" w:cs="Arial"/>
        </w:rPr>
      </w:pPr>
    </w:p>
    <w:p w14:paraId="2CE4C55A" w14:textId="77777777" w:rsidR="00EE18C0" w:rsidRPr="00453FAA" w:rsidRDefault="00EE18C0" w:rsidP="00B736E3">
      <w:pPr>
        <w:spacing w:line="240" w:lineRule="auto"/>
        <w:jc w:val="both"/>
        <w:rPr>
          <w:rFonts w:ascii="Arial" w:eastAsia="Arial" w:hAnsi="Arial" w:cs="Arial"/>
        </w:rPr>
      </w:pPr>
    </w:p>
    <w:p w14:paraId="539DA6F6" w14:textId="5CC2538C" w:rsidR="0021423D" w:rsidRPr="00453FAA" w:rsidRDefault="00A070B5">
      <w:pPr>
        <w:spacing w:after="160"/>
        <w:jc w:val="center"/>
        <w:rPr>
          <w:rFonts w:ascii="Arial" w:eastAsia="Arial" w:hAnsi="Arial" w:cs="Arial"/>
        </w:rPr>
      </w:pPr>
      <w:r w:rsidRPr="00453FAA">
        <w:rPr>
          <w:rFonts w:ascii="Arial" w:hAnsi="Arial"/>
        </w:rPr>
        <w:t># # #</w:t>
      </w:r>
    </w:p>
    <w:p w14:paraId="2E5FF352" w14:textId="77777777" w:rsidR="00E66258" w:rsidRPr="00453FAA" w:rsidRDefault="00E66258">
      <w:pPr>
        <w:spacing w:line="240" w:lineRule="auto"/>
        <w:jc w:val="both"/>
        <w:rPr>
          <w:rFonts w:ascii="Arial" w:eastAsia="Arial" w:hAnsi="Arial" w:cs="Arial"/>
          <w:b/>
          <w:bCs/>
          <w:sz w:val="18"/>
          <w:szCs w:val="18"/>
        </w:rPr>
      </w:pPr>
    </w:p>
    <w:p w14:paraId="621AFD1D" w14:textId="64120527" w:rsidR="0021423D" w:rsidRPr="00623E54" w:rsidRDefault="003B2539">
      <w:pPr>
        <w:spacing w:line="240" w:lineRule="auto"/>
        <w:jc w:val="both"/>
        <w:rPr>
          <w:i/>
          <w:iCs/>
          <w:sz w:val="18"/>
          <w:szCs w:val="18"/>
        </w:rPr>
      </w:pPr>
      <w:r w:rsidRPr="00623E54">
        <w:rPr>
          <w:rFonts w:ascii="Arial" w:hAnsi="Arial"/>
          <w:b/>
          <w:bCs/>
          <w:i/>
          <w:iCs/>
          <w:sz w:val="18"/>
          <w:szCs w:val="18"/>
        </w:rPr>
        <w:t xml:space="preserve">À propos de </w:t>
      </w:r>
      <w:proofErr w:type="spellStart"/>
      <w:r w:rsidRPr="00623E54">
        <w:rPr>
          <w:rFonts w:ascii="Arial" w:hAnsi="Arial"/>
          <w:b/>
          <w:bCs/>
          <w:i/>
          <w:iCs/>
          <w:sz w:val="18"/>
          <w:szCs w:val="18"/>
        </w:rPr>
        <w:t>Symbio</w:t>
      </w:r>
      <w:proofErr w:type="spellEnd"/>
      <w:r w:rsidRPr="00623E54">
        <w:rPr>
          <w:rFonts w:ascii="Arial" w:hAnsi="Arial"/>
          <w:b/>
          <w:bCs/>
          <w:i/>
          <w:iCs/>
          <w:sz w:val="18"/>
          <w:szCs w:val="18"/>
        </w:rPr>
        <w:t>  </w:t>
      </w:r>
    </w:p>
    <w:p w14:paraId="406D21E5" w14:textId="77777777" w:rsidR="0021423D" w:rsidRPr="00623E54" w:rsidRDefault="00A070B5">
      <w:pPr>
        <w:spacing w:line="240" w:lineRule="auto"/>
        <w:jc w:val="both"/>
        <w:rPr>
          <w:i/>
          <w:iCs/>
          <w:sz w:val="18"/>
          <w:szCs w:val="18"/>
        </w:rPr>
      </w:pPr>
      <w:r w:rsidRPr="00453FAA">
        <w:rPr>
          <w:rFonts w:ascii="Arial" w:hAnsi="Arial"/>
          <w:i/>
          <w:iCs/>
          <w:sz w:val="18"/>
          <w:szCs w:val="18"/>
        </w:rPr>
        <w:t xml:space="preserve">Co-entreprise de Faurecia et Michelin, et partenaire technologique majeur des sociétés pionnières de la mobilité, </w:t>
      </w:r>
      <w:proofErr w:type="spellStart"/>
      <w:r w:rsidRPr="00453FAA">
        <w:rPr>
          <w:rFonts w:ascii="Arial" w:hAnsi="Arial"/>
          <w:i/>
          <w:iCs/>
          <w:sz w:val="18"/>
          <w:szCs w:val="18"/>
        </w:rPr>
        <w:t>Symbio</w:t>
      </w:r>
      <w:proofErr w:type="spellEnd"/>
      <w:r w:rsidRPr="00453FAA">
        <w:rPr>
          <w:rFonts w:ascii="Arial" w:hAnsi="Arial"/>
          <w:i/>
          <w:iCs/>
          <w:sz w:val="18"/>
          <w:szCs w:val="18"/>
        </w:rPr>
        <w:t xml:space="preserve"> affiche plus de 30 ans d’expérience et 6 millions de kilomètres parcourus. Référence mondiale en matière de systèmes de piles à hydrogène, </w:t>
      </w:r>
      <w:proofErr w:type="spellStart"/>
      <w:r w:rsidRPr="00453FAA">
        <w:rPr>
          <w:rFonts w:ascii="Arial" w:hAnsi="Arial"/>
          <w:i/>
          <w:iCs/>
          <w:sz w:val="18"/>
          <w:szCs w:val="18"/>
        </w:rPr>
        <w:t>Symbio</w:t>
      </w:r>
      <w:proofErr w:type="spellEnd"/>
      <w:r w:rsidRPr="00453FAA">
        <w:rPr>
          <w:rFonts w:ascii="Arial" w:hAnsi="Arial"/>
          <w:i/>
          <w:iCs/>
          <w:sz w:val="18"/>
          <w:szCs w:val="18"/>
        </w:rPr>
        <w:t xml:space="preserve"> combine leadership industriel, innovation de pointe et agilité entrepreneuriale pour offrir des solutions de mobilité zéro émission. Que ce soit on-road ou off-road, sa vaste gamme de </w:t>
      </w:r>
      <w:proofErr w:type="spellStart"/>
      <w:r w:rsidRPr="00453FAA">
        <w:rPr>
          <w:rFonts w:ascii="Arial" w:hAnsi="Arial"/>
          <w:i/>
          <w:iCs/>
          <w:sz w:val="18"/>
          <w:szCs w:val="18"/>
        </w:rPr>
        <w:t>StackPack</w:t>
      </w:r>
      <w:proofErr w:type="spellEnd"/>
      <w:r w:rsidRPr="00453FAA">
        <w:rPr>
          <w:rFonts w:ascii="Arial" w:hAnsi="Arial"/>
          <w:i/>
          <w:iCs/>
          <w:sz w:val="18"/>
          <w:szCs w:val="18"/>
        </w:rPr>
        <w:t xml:space="preserve">, des systèmes de piles à combustible compacts, répond à tous les besoins de puissance, de durabilité et d’autonomie des véhicules légers et commerciaux, bus et camions ou équipements logistiques. </w:t>
      </w:r>
      <w:proofErr w:type="spellStart"/>
      <w:r w:rsidRPr="00453FAA">
        <w:rPr>
          <w:rFonts w:ascii="Arial" w:hAnsi="Arial"/>
          <w:i/>
          <w:iCs/>
          <w:sz w:val="18"/>
          <w:szCs w:val="18"/>
        </w:rPr>
        <w:t>Symbio</w:t>
      </w:r>
      <w:proofErr w:type="spellEnd"/>
      <w:r w:rsidRPr="00453FAA">
        <w:rPr>
          <w:rFonts w:ascii="Arial" w:hAnsi="Arial"/>
          <w:i/>
          <w:iCs/>
          <w:sz w:val="18"/>
          <w:szCs w:val="18"/>
        </w:rPr>
        <w:t xml:space="preserve"> travaille en partenariat avec Stellantis pour déployer le premier programme au monde de véhicules utilitaires légers fonctionnant à l’hydrogène. </w:t>
      </w:r>
      <w:proofErr w:type="spellStart"/>
      <w:r w:rsidRPr="00453FAA">
        <w:rPr>
          <w:rFonts w:ascii="Arial" w:hAnsi="Arial"/>
          <w:i/>
          <w:iCs/>
          <w:sz w:val="18"/>
          <w:szCs w:val="18"/>
        </w:rPr>
        <w:t>Symbio</w:t>
      </w:r>
      <w:proofErr w:type="spellEnd"/>
      <w:r w:rsidRPr="00453FAA">
        <w:rPr>
          <w:rFonts w:ascii="Arial" w:hAnsi="Arial"/>
          <w:i/>
          <w:iCs/>
          <w:sz w:val="18"/>
          <w:szCs w:val="18"/>
        </w:rPr>
        <w:t xml:space="preserve"> emploie près de 600 collaborateurs déterminés à bâtir un avenir positif et à aider leurs clients à accélérer le déploiement d’une mobilité propre et respectueuse de l’environnement, de l’air que nous respirons et de notre santé, sans aucun compromis sur les performances. La gamme H2Motive de </w:t>
      </w:r>
      <w:proofErr w:type="spellStart"/>
      <w:r w:rsidRPr="00453FAA">
        <w:rPr>
          <w:rFonts w:ascii="Arial" w:hAnsi="Arial"/>
          <w:i/>
          <w:iCs/>
          <w:sz w:val="18"/>
          <w:szCs w:val="18"/>
        </w:rPr>
        <w:t>Symbio</w:t>
      </w:r>
      <w:proofErr w:type="spellEnd"/>
      <w:r w:rsidRPr="00453FAA">
        <w:rPr>
          <w:rFonts w:ascii="Arial" w:hAnsi="Arial"/>
          <w:i/>
          <w:iCs/>
          <w:sz w:val="18"/>
          <w:szCs w:val="18"/>
        </w:rPr>
        <w:t xml:space="preserve"> répond à tous les besoins de puissance et de durabilité grâce à des systèmes single-stack et multi-stack conçus avec différents systèmes associés : gestion de l’alimentation, unités de commande électroniques, circuits de refroidissement, d’air et d’hydrogène qui génèrent et contrôlent la puissance électrique.</w:t>
      </w:r>
      <w:r w:rsidRPr="00623E54">
        <w:rPr>
          <w:rFonts w:ascii="Arial" w:hAnsi="Arial"/>
          <w:i/>
          <w:iCs/>
          <w:sz w:val="18"/>
          <w:szCs w:val="18"/>
        </w:rPr>
        <w:t> </w:t>
      </w:r>
      <w:r w:rsidRPr="00623E54">
        <w:rPr>
          <w:rFonts w:ascii="Arial" w:hAnsi="Arial"/>
          <w:i/>
          <w:iCs/>
          <w:color w:val="0000FF"/>
          <w:sz w:val="18"/>
          <w:szCs w:val="18"/>
          <w:u w:val="single" w:color="0000FF"/>
        </w:rPr>
        <w:t>www.symbio.one</w:t>
      </w:r>
    </w:p>
    <w:p w14:paraId="35BA184C" w14:textId="77777777" w:rsidR="0021423D" w:rsidRPr="00453FAA" w:rsidRDefault="0021423D">
      <w:pPr>
        <w:spacing w:line="240" w:lineRule="auto"/>
        <w:jc w:val="both"/>
        <w:rPr>
          <w:rFonts w:ascii="Arial" w:eastAsia="Arial" w:hAnsi="Arial" w:cs="Arial"/>
          <w:b/>
          <w:bCs/>
          <w:sz w:val="18"/>
          <w:szCs w:val="18"/>
        </w:rPr>
      </w:pPr>
    </w:p>
    <w:p w14:paraId="3F42E7BD" w14:textId="77777777" w:rsidR="0021423D" w:rsidRPr="00623E54" w:rsidRDefault="00A070B5">
      <w:pPr>
        <w:spacing w:line="240" w:lineRule="auto"/>
        <w:jc w:val="both"/>
        <w:rPr>
          <w:i/>
          <w:iCs/>
          <w:sz w:val="18"/>
          <w:szCs w:val="18"/>
        </w:rPr>
      </w:pPr>
      <w:r w:rsidRPr="00623E54">
        <w:rPr>
          <w:rFonts w:ascii="Arial" w:hAnsi="Arial"/>
          <w:b/>
          <w:bCs/>
          <w:i/>
          <w:iCs/>
          <w:sz w:val="18"/>
          <w:szCs w:val="18"/>
        </w:rPr>
        <w:t>À propos de Stellantis</w:t>
      </w:r>
    </w:p>
    <w:p w14:paraId="04C1061F" w14:textId="225CA540" w:rsidR="0021423D" w:rsidRPr="00453FAA" w:rsidRDefault="00A070B5">
      <w:pPr>
        <w:spacing w:line="240" w:lineRule="auto"/>
        <w:jc w:val="both"/>
      </w:pPr>
      <w:bookmarkStart w:id="0" w:name="_Hlk104023212"/>
      <w:r w:rsidRPr="00453FAA">
        <w:rPr>
          <w:rFonts w:ascii="Arial" w:hAnsi="Arial"/>
          <w:i/>
          <w:iCs/>
          <w:sz w:val="18"/>
          <w:szCs w:val="18"/>
        </w:rPr>
        <w:t xml:space="preserve">Stellantis N.V. (NYSE : STLA / Euronext Milan : STLAM / Euronext Paris : STLAP) fait partie des principaux constructeurs automobiles et fournisseurs de services de mobilité internationaux. </w:t>
      </w:r>
      <w:proofErr w:type="spellStart"/>
      <w:r w:rsidRPr="00453FAA">
        <w:rPr>
          <w:rFonts w:ascii="Arial" w:hAnsi="Arial"/>
          <w:i/>
          <w:iCs/>
          <w:sz w:val="18"/>
          <w:szCs w:val="18"/>
        </w:rPr>
        <w:t>Abarth</w:t>
      </w:r>
      <w:proofErr w:type="spellEnd"/>
      <w:r w:rsidRPr="00453FAA">
        <w:rPr>
          <w:rFonts w:ascii="Arial" w:hAnsi="Arial"/>
          <w:i/>
          <w:iCs/>
          <w:sz w:val="18"/>
          <w:szCs w:val="18"/>
        </w:rPr>
        <w:t xml:space="preserve">,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6" w:history="1">
        <w:r w:rsidRPr="00453FAA">
          <w:rPr>
            <w:rFonts w:ascii="Arial" w:hAnsi="Arial"/>
            <w:i/>
            <w:iCs/>
            <w:color w:val="0000FF"/>
            <w:sz w:val="18"/>
            <w:szCs w:val="18"/>
            <w:u w:val="single" w:color="0000FF"/>
          </w:rPr>
          <w:t>www.stellantis.com</w:t>
        </w:r>
      </w:hyperlink>
      <w:r w:rsidRPr="00453FAA">
        <w:t>.</w:t>
      </w:r>
      <w:bookmarkEnd w:id="0"/>
    </w:p>
    <w:p w14:paraId="7C14792C" w14:textId="77777777" w:rsidR="0021423D" w:rsidRPr="00453FAA" w:rsidRDefault="0021423D">
      <w:pPr>
        <w:spacing w:line="240" w:lineRule="auto"/>
        <w:jc w:val="both"/>
        <w:rPr>
          <w:rFonts w:ascii="Arial" w:eastAsia="Arial" w:hAnsi="Arial" w:cs="Arial"/>
          <w:sz w:val="18"/>
          <w:szCs w:val="18"/>
        </w:rPr>
      </w:pPr>
    </w:p>
    <w:p w14:paraId="387989BE" w14:textId="6C3CB7E3" w:rsidR="0021423D" w:rsidRPr="00453FAA" w:rsidRDefault="00A070B5">
      <w:pPr>
        <w:spacing w:line="240" w:lineRule="auto"/>
        <w:jc w:val="both"/>
        <w:rPr>
          <w:sz w:val="18"/>
          <w:szCs w:val="18"/>
        </w:rPr>
      </w:pPr>
      <w:r w:rsidRPr="00453FAA">
        <w:rPr>
          <w:rFonts w:ascii="Arial" w:hAnsi="Arial"/>
          <w:b/>
          <w:bCs/>
          <w:i/>
          <w:iCs/>
          <w:sz w:val="18"/>
          <w:szCs w:val="18"/>
        </w:rPr>
        <w:t>À propos de FORVIA Faurecia</w:t>
      </w:r>
    </w:p>
    <w:p w14:paraId="4684EDFA" w14:textId="77777777" w:rsidR="00F20199" w:rsidRPr="00453FAA" w:rsidRDefault="00F20199" w:rsidP="000F3368">
      <w:pPr>
        <w:spacing w:line="240" w:lineRule="auto"/>
        <w:jc w:val="both"/>
        <w:rPr>
          <w:rFonts w:ascii="Arial" w:eastAsia="Arial" w:hAnsi="Arial" w:cs="Arial"/>
          <w:i/>
          <w:iCs/>
          <w:sz w:val="18"/>
          <w:szCs w:val="18"/>
        </w:rPr>
      </w:pPr>
      <w:r w:rsidRPr="00453FAA">
        <w:rPr>
          <w:rFonts w:ascii="Arial" w:hAnsi="Arial"/>
          <w:i/>
          <w:iCs/>
          <w:sz w:val="18"/>
          <w:szCs w:val="18"/>
        </w:rPr>
        <w:t xml:space="preserve">FORVIA rassemble les technologies complémentaires et les forces industrielles de Faurecia et HELLA. Avec plus de 290 sites industriels, 76 centres de R&amp;D et 157 000 collaborateurs, dont plus de 15 000 ingénieurs R&amp;D dans plus de 40 pays, FORVIA propose une approche unique et globale des défis automobiles d’aujourd’hui et de demain. Composé de 6 groupes d’activités et d’un portefeuille de propriété intellectuelle incluant plus de 14 000 brevets, FORVIA a pour objectif de devenir le partenaire privilégié des constructeurs automobiles du monde entier en matière d’innovation et d’intégration. FORVIA a pour ambition d’être un acteur du changement concentré sur l’avenir et la transformation de la mobilité. </w:t>
      </w:r>
      <w:hyperlink r:id="rId7" w:history="1">
        <w:r w:rsidRPr="00453FAA">
          <w:rPr>
            <w:rFonts w:ascii="Arial" w:hAnsi="Arial"/>
            <w:i/>
            <w:iCs/>
            <w:sz w:val="18"/>
            <w:szCs w:val="18"/>
          </w:rPr>
          <w:t>www.forvia.com</w:t>
        </w:r>
      </w:hyperlink>
    </w:p>
    <w:p w14:paraId="60ACB076" w14:textId="77777777" w:rsidR="0021423D" w:rsidRPr="00453FAA" w:rsidRDefault="0021423D">
      <w:pPr>
        <w:spacing w:line="240" w:lineRule="auto"/>
        <w:jc w:val="both"/>
        <w:rPr>
          <w:rFonts w:ascii="Arial" w:eastAsia="Arial" w:hAnsi="Arial" w:cs="Arial"/>
          <w:i/>
          <w:iCs/>
          <w:sz w:val="18"/>
          <w:szCs w:val="18"/>
        </w:rPr>
      </w:pPr>
    </w:p>
    <w:p w14:paraId="267D2879" w14:textId="77777777" w:rsidR="00BB2051" w:rsidRPr="00453FAA" w:rsidRDefault="00BB2051" w:rsidP="00BB2051">
      <w:pPr>
        <w:spacing w:line="240" w:lineRule="auto"/>
        <w:jc w:val="both"/>
        <w:rPr>
          <w:rFonts w:ascii="Arial" w:hAnsi="Arial"/>
          <w:b/>
          <w:bCs/>
          <w:i/>
          <w:iCs/>
          <w:sz w:val="18"/>
          <w:szCs w:val="18"/>
        </w:rPr>
      </w:pPr>
      <w:r w:rsidRPr="00453FAA">
        <w:rPr>
          <w:rFonts w:ascii="Arial" w:hAnsi="Arial"/>
          <w:b/>
          <w:bCs/>
          <w:i/>
          <w:iCs/>
          <w:sz w:val="18"/>
          <w:szCs w:val="18"/>
        </w:rPr>
        <w:t xml:space="preserve">A propos de Michelin </w:t>
      </w:r>
    </w:p>
    <w:p w14:paraId="33C4801E" w14:textId="2F8904FF" w:rsidR="0021423D" w:rsidRPr="00BB2051" w:rsidRDefault="00BB2051" w:rsidP="00BB2051">
      <w:pPr>
        <w:spacing w:line="240" w:lineRule="auto"/>
        <w:jc w:val="both"/>
      </w:pPr>
      <w:r w:rsidRPr="00453FAA">
        <w:rPr>
          <w:rFonts w:ascii="Arial" w:hAnsi="Arial"/>
          <w:i/>
          <w:iCs/>
          <w:sz w:val="18"/>
          <w:szCs w:val="18"/>
        </w:rPr>
        <w:t>Michelin a pour ambition d</w:t>
      </w:r>
      <w:r w:rsidR="00751CBC">
        <w:rPr>
          <w:rFonts w:ascii="Arial" w:hAnsi="Arial"/>
          <w:i/>
          <w:iCs/>
          <w:sz w:val="18"/>
          <w:szCs w:val="18"/>
        </w:rPr>
        <w:t>’</w:t>
      </w:r>
      <w:r w:rsidRPr="00453FAA">
        <w:rPr>
          <w:rFonts w:ascii="Arial" w:hAnsi="Arial"/>
          <w:i/>
          <w:iCs/>
          <w:sz w:val="18"/>
          <w:szCs w:val="18"/>
        </w:rPr>
        <w:t>améliorer durablement la mobilité de ses clients. Leader dans le secteur de la mobilité, Michelin conçoit, fabrique et distribue les pneumatiques les plus adaptés à leurs besoins et à leurs usages ainsi que des services et des solutions pour améliorer l</w:t>
      </w:r>
      <w:r w:rsidR="00751CBC">
        <w:rPr>
          <w:rFonts w:ascii="Arial" w:hAnsi="Arial"/>
          <w:i/>
          <w:iCs/>
          <w:sz w:val="18"/>
          <w:szCs w:val="18"/>
        </w:rPr>
        <w:t>’</w:t>
      </w:r>
      <w:r w:rsidRPr="00453FAA">
        <w:rPr>
          <w:rFonts w:ascii="Arial" w:hAnsi="Arial"/>
          <w:i/>
          <w:iCs/>
          <w:sz w:val="18"/>
          <w:szCs w:val="18"/>
        </w:rPr>
        <w:t>efficacité des transports. Michelin propose également des offres qui font vivre à ses clients des moments uniques au cours de leurs voyages et de leurs déplacements. Michelin développe aussi des matériaux de haute technologie destinés à de nombreux domaines. Basé à Clermont-Ferrand, Michelin est présent dans 175 pays, emploie 132 200 personnes et exploite 67 usines de pneumatiques qui, ensemble, ont produit environ 167 millions de pneus en 2022. (</w:t>
      </w:r>
      <w:hyperlink r:id="rId8" w:history="1">
        <w:r w:rsidRPr="00453FAA">
          <w:rPr>
            <w:rStyle w:val="Hyperlink"/>
            <w:rFonts w:ascii="Arial" w:hAnsi="Arial"/>
            <w:i/>
            <w:iCs/>
            <w:sz w:val="18"/>
            <w:szCs w:val="18"/>
          </w:rPr>
          <w:t>www.michelin.com</w:t>
        </w:r>
      </w:hyperlink>
      <w:r w:rsidRPr="00453FAA">
        <w:rPr>
          <w:rFonts w:ascii="Arial" w:hAnsi="Arial"/>
          <w:i/>
          <w:iCs/>
          <w:sz w:val="18"/>
          <w:szCs w:val="18"/>
        </w:rPr>
        <w:t>).</w:t>
      </w:r>
    </w:p>
    <w:p w14:paraId="1473BC1E" w14:textId="4C8C9493" w:rsidR="0021423D" w:rsidRDefault="0021423D">
      <w:pPr>
        <w:spacing w:after="160"/>
        <w:jc w:val="both"/>
        <w:rPr>
          <w:rFonts w:ascii="Encode Sans" w:eastAsia="Encode Sans" w:hAnsi="Encode Sans" w:cs="Encode Sans"/>
          <w:b/>
          <w:bCs/>
          <w:i/>
          <w:iCs/>
        </w:rPr>
      </w:pPr>
    </w:p>
    <w:p w14:paraId="482CACA9" w14:textId="60952ECF" w:rsidR="00524D75" w:rsidRDefault="00524D75">
      <w:pPr>
        <w:spacing w:line="240" w:lineRule="auto"/>
        <w:rPr>
          <w:rFonts w:ascii="Encode Sans" w:eastAsia="Encode Sans" w:hAnsi="Encode Sans" w:cs="Encode Sans"/>
          <w:b/>
          <w:bCs/>
          <w:i/>
          <w:iCs/>
        </w:rPr>
      </w:pPr>
      <w:r>
        <w:rPr>
          <w:rFonts w:ascii="Encode Sans" w:eastAsia="Encode Sans" w:hAnsi="Encode Sans" w:cs="Encode Sans"/>
          <w:b/>
          <w:bCs/>
          <w:i/>
          <w:iCs/>
        </w:rPr>
        <w:br w:type="page"/>
      </w:r>
    </w:p>
    <w:p w14:paraId="5631A5E5" w14:textId="77777777" w:rsidR="00EE18C0" w:rsidRDefault="00EE18C0">
      <w:pPr>
        <w:spacing w:after="160"/>
        <w:jc w:val="both"/>
        <w:rPr>
          <w:rFonts w:ascii="Encode Sans" w:eastAsia="Encode Sans" w:hAnsi="Encode Sans" w:cs="Encode Sans"/>
          <w:b/>
          <w:bCs/>
          <w:i/>
          <w:iCs/>
        </w:rPr>
      </w:pPr>
    </w:p>
    <w:p w14:paraId="5C756E13" w14:textId="77777777" w:rsidR="00EE18C0" w:rsidRDefault="00EE18C0">
      <w:pPr>
        <w:spacing w:after="160"/>
        <w:jc w:val="both"/>
        <w:rPr>
          <w:rFonts w:ascii="Encode Sans" w:eastAsia="Encode Sans" w:hAnsi="Encode Sans" w:cs="Encode Sans"/>
          <w:b/>
          <w:bCs/>
          <w:i/>
          <w:iCs/>
        </w:rPr>
      </w:pPr>
    </w:p>
    <w:p w14:paraId="37048DBC" w14:textId="77777777" w:rsidR="0021423D" w:rsidRPr="00C96E53" w:rsidRDefault="00A070B5">
      <w:pPr>
        <w:rPr>
          <w:rFonts w:ascii="Arial" w:hAnsi="Arial" w:cs="Arial"/>
          <w:sz w:val="20"/>
          <w:szCs w:val="20"/>
        </w:rPr>
      </w:pPr>
      <w:r>
        <w:rPr>
          <w:rFonts w:ascii="Arial" w:hAnsi="Arial"/>
          <w:b/>
          <w:bCs/>
          <w:sz w:val="20"/>
          <w:szCs w:val="20"/>
        </w:rPr>
        <w:t>Contacts :</w:t>
      </w:r>
    </w:p>
    <w:p w14:paraId="44BE4009" w14:textId="77777777" w:rsidR="0021423D" w:rsidRPr="00C96E53" w:rsidRDefault="0021423D">
      <w:pPr>
        <w:rPr>
          <w:rFonts w:ascii="Arial" w:eastAsia="Arial" w:hAnsi="Arial" w:cs="Arial"/>
          <w:sz w:val="20"/>
          <w:szCs w:val="20"/>
        </w:rPr>
      </w:pPr>
    </w:p>
    <w:tbl>
      <w:tblPr>
        <w:tblW w:w="0" w:type="auto"/>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54"/>
        <w:gridCol w:w="3228"/>
        <w:gridCol w:w="3278"/>
      </w:tblGrid>
      <w:tr w:rsidR="0021423D" w:rsidRPr="00E07A99" w14:paraId="1DDD0D04" w14:textId="77777777">
        <w:tc>
          <w:tcPr>
            <w:tcW w:w="3131" w:type="dxa"/>
            <w:tcBorders>
              <w:right w:val="nil"/>
            </w:tcBorders>
            <w:tcMar>
              <w:top w:w="0" w:type="dxa"/>
              <w:left w:w="123" w:type="dxa"/>
              <w:bottom w:w="0" w:type="dxa"/>
              <w:right w:w="108" w:type="dxa"/>
            </w:tcMar>
            <w:hideMark/>
          </w:tcPr>
          <w:p w14:paraId="51AB71D6" w14:textId="7C567A88" w:rsidR="0021423D" w:rsidRPr="00B736E3" w:rsidRDefault="0042183A">
            <w:pPr>
              <w:jc w:val="center"/>
              <w:rPr>
                <w:rFonts w:ascii="Arial" w:hAnsi="Arial" w:cs="Arial"/>
                <w:color w:val="000000"/>
                <w:sz w:val="20"/>
                <w:szCs w:val="20"/>
              </w:rPr>
            </w:pPr>
            <w:r>
              <w:rPr>
                <w:rFonts w:ascii="Arial" w:hAnsi="Arial"/>
                <w:b/>
                <w:bCs/>
                <w:color w:val="000000"/>
                <w:sz w:val="20"/>
                <w:szCs w:val="20"/>
              </w:rPr>
              <w:t>STELLANTIS</w:t>
            </w:r>
          </w:p>
          <w:p w14:paraId="393AED0B" w14:textId="77777777" w:rsidR="0021423D" w:rsidRPr="00B736E3" w:rsidRDefault="0021423D">
            <w:pPr>
              <w:rPr>
                <w:rFonts w:ascii="Arial" w:eastAsia="Arial" w:hAnsi="Arial" w:cs="Arial"/>
                <w:b/>
                <w:bCs/>
                <w:color w:val="000000"/>
                <w:sz w:val="20"/>
                <w:szCs w:val="20"/>
              </w:rPr>
            </w:pPr>
          </w:p>
          <w:p w14:paraId="24A491B8" w14:textId="77777777" w:rsidR="0021423D" w:rsidRPr="00B736E3" w:rsidRDefault="00A070B5">
            <w:pPr>
              <w:rPr>
                <w:rFonts w:ascii="Arial" w:hAnsi="Arial" w:cs="Arial"/>
                <w:color w:val="000000"/>
                <w:sz w:val="20"/>
                <w:szCs w:val="20"/>
              </w:rPr>
            </w:pPr>
            <w:proofErr w:type="spellStart"/>
            <w:r>
              <w:rPr>
                <w:rFonts w:ascii="Arial" w:hAnsi="Arial"/>
                <w:b/>
                <w:bCs/>
                <w:color w:val="000000"/>
                <w:sz w:val="20"/>
                <w:szCs w:val="20"/>
              </w:rPr>
              <w:t>Fernão</w:t>
            </w:r>
            <w:proofErr w:type="spellEnd"/>
            <w:r>
              <w:rPr>
                <w:rFonts w:ascii="Arial" w:hAnsi="Arial"/>
                <w:b/>
                <w:bCs/>
                <w:color w:val="000000"/>
                <w:sz w:val="20"/>
                <w:szCs w:val="20"/>
              </w:rPr>
              <w:t xml:space="preserve"> Silveira</w:t>
            </w:r>
          </w:p>
          <w:p w14:paraId="587707B3" w14:textId="77777777" w:rsidR="0021423D" w:rsidRPr="00B736E3" w:rsidRDefault="00A070B5">
            <w:pPr>
              <w:rPr>
                <w:rFonts w:ascii="Arial" w:hAnsi="Arial" w:cs="Arial"/>
                <w:color w:val="000000"/>
                <w:sz w:val="20"/>
                <w:szCs w:val="20"/>
              </w:rPr>
            </w:pPr>
            <w:r>
              <w:rPr>
                <w:rFonts w:ascii="Arial" w:hAnsi="Arial"/>
                <w:color w:val="000000"/>
                <w:sz w:val="20"/>
                <w:szCs w:val="20"/>
              </w:rPr>
              <w:t>Global Communications / Stellantis</w:t>
            </w:r>
          </w:p>
          <w:p w14:paraId="696F3F48" w14:textId="77777777" w:rsidR="0021423D" w:rsidRPr="000F3368" w:rsidRDefault="00A070B5">
            <w:pPr>
              <w:rPr>
                <w:rFonts w:ascii="Arial" w:hAnsi="Arial" w:cs="Arial"/>
                <w:color w:val="000000"/>
                <w:sz w:val="20"/>
                <w:szCs w:val="20"/>
              </w:rPr>
            </w:pPr>
            <w:r>
              <w:rPr>
                <w:rFonts w:ascii="Arial" w:hAnsi="Arial"/>
                <w:color w:val="000000"/>
                <w:sz w:val="20"/>
                <w:szCs w:val="20"/>
              </w:rPr>
              <w:t>+31 6 43 25 43 41</w:t>
            </w:r>
          </w:p>
          <w:p w14:paraId="6BDBA484" w14:textId="77777777" w:rsidR="0021423D" w:rsidRPr="000F3368" w:rsidRDefault="00623E54">
            <w:pPr>
              <w:rPr>
                <w:rFonts w:ascii="Arial" w:hAnsi="Arial" w:cs="Arial"/>
                <w:color w:val="000000"/>
                <w:sz w:val="20"/>
                <w:szCs w:val="20"/>
              </w:rPr>
            </w:pPr>
            <w:hyperlink r:id="rId9" w:history="1">
              <w:r w:rsidR="00864187">
                <w:rPr>
                  <w:rFonts w:ascii="Arial" w:hAnsi="Arial"/>
                  <w:color w:val="000000"/>
                  <w:sz w:val="20"/>
                  <w:szCs w:val="20"/>
                  <w:u w:val="single" w:color="000000"/>
                </w:rPr>
                <w:t>fernao.silveira@stellantis.com</w:t>
              </w:r>
            </w:hyperlink>
          </w:p>
          <w:p w14:paraId="5C702C37" w14:textId="77777777" w:rsidR="0021423D" w:rsidRPr="000F3368" w:rsidRDefault="0021423D">
            <w:pPr>
              <w:rPr>
                <w:rFonts w:ascii="Arial" w:eastAsia="Arial" w:hAnsi="Arial" w:cs="Arial"/>
                <w:b/>
                <w:bCs/>
                <w:color w:val="000000"/>
                <w:sz w:val="20"/>
                <w:szCs w:val="20"/>
              </w:rPr>
            </w:pPr>
          </w:p>
          <w:p w14:paraId="565D2401" w14:textId="77777777" w:rsidR="0021423D" w:rsidRPr="000F3368" w:rsidRDefault="00A070B5">
            <w:pPr>
              <w:rPr>
                <w:rFonts w:ascii="Arial" w:hAnsi="Arial" w:cs="Arial"/>
                <w:color w:val="000000"/>
                <w:sz w:val="20"/>
                <w:szCs w:val="20"/>
              </w:rPr>
            </w:pPr>
            <w:r>
              <w:rPr>
                <w:rFonts w:ascii="Arial" w:hAnsi="Arial"/>
                <w:color w:val="000000"/>
                <w:sz w:val="20"/>
                <w:szCs w:val="20"/>
              </w:rPr>
              <w:t>communications@stellantis.com</w:t>
            </w:r>
          </w:p>
          <w:p w14:paraId="4E3B1507" w14:textId="77777777" w:rsidR="0021423D" w:rsidRPr="00C96E53" w:rsidRDefault="00623E54">
            <w:pPr>
              <w:rPr>
                <w:rFonts w:ascii="Arial" w:hAnsi="Arial" w:cs="Arial"/>
                <w:color w:val="000000"/>
                <w:sz w:val="20"/>
                <w:szCs w:val="20"/>
              </w:rPr>
            </w:pPr>
            <w:hyperlink r:id="rId10" w:history="1">
              <w:r w:rsidR="00383ACA">
                <w:rPr>
                  <w:rFonts w:ascii="Arial" w:hAnsi="Arial"/>
                  <w:color w:val="000000"/>
                  <w:sz w:val="20"/>
                  <w:szCs w:val="20"/>
                  <w:u w:val="single" w:color="000000"/>
                </w:rPr>
                <w:t>www.stellantis.com</w:t>
              </w:r>
            </w:hyperlink>
          </w:p>
          <w:p w14:paraId="4BA27F24" w14:textId="77777777" w:rsidR="0021423D" w:rsidRPr="00C96E53" w:rsidRDefault="0021423D">
            <w:pPr>
              <w:spacing w:after="160"/>
              <w:rPr>
                <w:rFonts w:ascii="Arial" w:eastAsia="Arial" w:hAnsi="Arial" w:cs="Arial"/>
                <w:b/>
                <w:bCs/>
                <w:i/>
                <w:iCs/>
                <w:color w:val="000000"/>
                <w:sz w:val="20"/>
                <w:szCs w:val="20"/>
              </w:rPr>
            </w:pPr>
          </w:p>
        </w:tc>
        <w:tc>
          <w:tcPr>
            <w:tcW w:w="3117" w:type="dxa"/>
            <w:tcBorders>
              <w:left w:val="nil"/>
              <w:right w:val="nil"/>
            </w:tcBorders>
            <w:tcMar>
              <w:top w:w="0" w:type="dxa"/>
              <w:left w:w="108" w:type="dxa"/>
              <w:bottom w:w="0" w:type="dxa"/>
              <w:right w:w="108" w:type="dxa"/>
            </w:tcMar>
            <w:hideMark/>
          </w:tcPr>
          <w:p w14:paraId="33F45A80" w14:textId="77777777" w:rsidR="0021423D" w:rsidRPr="00C96E53" w:rsidRDefault="00A070B5">
            <w:pPr>
              <w:spacing w:after="160"/>
              <w:jc w:val="center"/>
              <w:rPr>
                <w:rFonts w:ascii="Arial" w:hAnsi="Arial" w:cs="Arial"/>
                <w:color w:val="000000"/>
                <w:sz w:val="20"/>
                <w:szCs w:val="20"/>
              </w:rPr>
            </w:pPr>
            <w:r>
              <w:rPr>
                <w:rFonts w:ascii="Arial" w:hAnsi="Arial"/>
                <w:b/>
                <w:bCs/>
                <w:color w:val="000000"/>
                <w:sz w:val="20"/>
                <w:szCs w:val="20"/>
              </w:rPr>
              <w:t>MICHELIN</w:t>
            </w:r>
          </w:p>
          <w:p w14:paraId="1C12826B" w14:textId="77777777" w:rsidR="00E07A99" w:rsidRDefault="00A070B5">
            <w:pPr>
              <w:spacing w:after="160"/>
              <w:rPr>
                <w:rFonts w:ascii="Arial" w:eastAsia="Arial" w:hAnsi="Arial" w:cs="Arial"/>
                <w:color w:val="000000"/>
                <w:sz w:val="20"/>
                <w:szCs w:val="20"/>
              </w:rPr>
            </w:pPr>
            <w:r>
              <w:rPr>
                <w:rFonts w:ascii="Arial" w:hAnsi="Arial"/>
                <w:b/>
                <w:bCs/>
                <w:color w:val="000000"/>
                <w:sz w:val="20"/>
                <w:szCs w:val="20"/>
              </w:rPr>
              <w:t>Service de presse</w:t>
            </w:r>
            <w:r>
              <w:rPr>
                <w:rFonts w:ascii="Arial" w:hAnsi="Arial"/>
                <w:color w:val="000000"/>
                <w:sz w:val="20"/>
                <w:szCs w:val="20"/>
              </w:rPr>
              <w:t xml:space="preserve"> </w:t>
            </w:r>
          </w:p>
          <w:p w14:paraId="4040B2D9" w14:textId="7109B285" w:rsidR="0021423D" w:rsidRPr="00C96E53" w:rsidRDefault="00A070B5">
            <w:pPr>
              <w:spacing w:after="160"/>
              <w:rPr>
                <w:rFonts w:ascii="Arial" w:hAnsi="Arial" w:cs="Arial"/>
                <w:color w:val="000000"/>
                <w:sz w:val="20"/>
                <w:szCs w:val="20"/>
              </w:rPr>
            </w:pPr>
            <w:r>
              <w:rPr>
                <w:rFonts w:ascii="Arial" w:hAnsi="Arial"/>
                <w:color w:val="000000"/>
                <w:sz w:val="20"/>
                <w:szCs w:val="20"/>
              </w:rPr>
              <w:t>7/7J 24/24h</w:t>
            </w:r>
          </w:p>
          <w:p w14:paraId="0D19FA37" w14:textId="77777777" w:rsidR="0021423D" w:rsidRPr="000F3368" w:rsidRDefault="00A070B5">
            <w:pPr>
              <w:spacing w:after="160"/>
              <w:rPr>
                <w:rFonts w:ascii="Arial" w:hAnsi="Arial" w:cs="Arial"/>
                <w:color w:val="000000"/>
                <w:sz w:val="20"/>
                <w:szCs w:val="20"/>
              </w:rPr>
            </w:pPr>
            <w:r>
              <w:rPr>
                <w:rFonts w:ascii="Arial" w:hAnsi="Arial"/>
                <w:color w:val="000000"/>
                <w:sz w:val="20"/>
                <w:szCs w:val="20"/>
              </w:rPr>
              <w:t>+ 33 1 45 66 22 22</w:t>
            </w:r>
          </w:p>
          <w:p w14:paraId="38A0B91E" w14:textId="77777777" w:rsidR="0021423D" w:rsidRPr="000F3368" w:rsidRDefault="00A070B5">
            <w:pPr>
              <w:spacing w:after="160"/>
              <w:rPr>
                <w:rFonts w:ascii="Arial" w:hAnsi="Arial" w:cs="Arial"/>
                <w:color w:val="000000"/>
                <w:sz w:val="20"/>
                <w:szCs w:val="20"/>
              </w:rPr>
            </w:pPr>
            <w:r>
              <w:rPr>
                <w:rFonts w:ascii="Arial" w:hAnsi="Arial"/>
                <w:color w:val="000000"/>
                <w:sz w:val="20"/>
                <w:szCs w:val="20"/>
              </w:rPr>
              <w:t>Twitter : @MichelinNews</w:t>
            </w:r>
          </w:p>
          <w:p w14:paraId="08EA8307" w14:textId="77777777" w:rsidR="0021423D" w:rsidRPr="000F3368" w:rsidRDefault="0021423D">
            <w:pPr>
              <w:spacing w:line="240" w:lineRule="auto"/>
              <w:rPr>
                <w:rFonts w:ascii="Arial" w:eastAsia="Arial" w:hAnsi="Arial" w:cs="Arial"/>
                <w:color w:val="000000"/>
                <w:sz w:val="20"/>
                <w:szCs w:val="20"/>
              </w:rPr>
            </w:pPr>
          </w:p>
          <w:tbl>
            <w:tblPr>
              <w:tblW w:w="0" w:type="auto"/>
              <w:tblCellMar>
                <w:left w:w="0" w:type="dxa"/>
                <w:right w:w="0" w:type="dxa"/>
              </w:tblCellMar>
              <w:tblLook w:val="04A0" w:firstRow="1" w:lastRow="0" w:firstColumn="1" w:lastColumn="0" w:noHBand="0" w:noVBand="1"/>
            </w:tblPr>
            <w:tblGrid>
              <w:gridCol w:w="3012"/>
            </w:tblGrid>
            <w:tr w:rsidR="0021423D" w:rsidRPr="00C96E53" w14:paraId="585038E7" w14:textId="77777777">
              <w:trPr>
                <w:trHeight w:val="307"/>
              </w:trPr>
              <w:tc>
                <w:tcPr>
                  <w:tcW w:w="0" w:type="auto"/>
                  <w:tcMar>
                    <w:top w:w="0" w:type="dxa"/>
                    <w:left w:w="123" w:type="dxa"/>
                    <w:bottom w:w="0" w:type="dxa"/>
                    <w:right w:w="123" w:type="dxa"/>
                  </w:tcMar>
                  <w:hideMark/>
                </w:tcPr>
                <w:p w14:paraId="7E06DFB1" w14:textId="77777777" w:rsidR="00F45956" w:rsidRPr="00C96E53" w:rsidRDefault="00F45956" w:rsidP="00F45956">
                  <w:pPr>
                    <w:spacing w:line="240" w:lineRule="auto"/>
                    <w:rPr>
                      <w:rFonts w:ascii="Arial" w:eastAsia="Arial" w:hAnsi="Arial" w:cs="Arial"/>
                      <w:b/>
                      <w:bCs/>
                      <w:color w:val="000000"/>
                      <w:sz w:val="20"/>
                      <w:szCs w:val="20"/>
                    </w:rPr>
                  </w:pPr>
                  <w:r>
                    <w:rPr>
                      <w:rFonts w:ascii="Arial" w:hAnsi="Arial"/>
                      <w:b/>
                      <w:bCs/>
                      <w:color w:val="000000"/>
                      <w:sz w:val="20"/>
                      <w:szCs w:val="20"/>
                    </w:rPr>
                    <w:t>Guillaume JULLIENNE</w:t>
                  </w:r>
                </w:p>
                <w:p w14:paraId="68C08B4D" w14:textId="3F7AD630" w:rsidR="00F45956" w:rsidRPr="00C96E53" w:rsidRDefault="00F45956" w:rsidP="00F45956">
                  <w:pPr>
                    <w:spacing w:line="240" w:lineRule="auto"/>
                    <w:rPr>
                      <w:rFonts w:ascii="Arial" w:eastAsia="Arial" w:hAnsi="Arial" w:cs="Arial"/>
                      <w:color w:val="000000"/>
                      <w:sz w:val="20"/>
                      <w:szCs w:val="20"/>
                    </w:rPr>
                  </w:pPr>
                  <w:r>
                    <w:rPr>
                      <w:rFonts w:ascii="Arial" w:hAnsi="Arial"/>
                      <w:color w:val="000000"/>
                      <w:sz w:val="20"/>
                      <w:szCs w:val="20"/>
                    </w:rPr>
                    <w:t>Directeur des Relations Investisseurs :</w:t>
                  </w:r>
                </w:p>
                <w:p w14:paraId="3DACE882" w14:textId="7E292857" w:rsidR="00F45956" w:rsidRPr="00C96E53" w:rsidRDefault="00F45956" w:rsidP="00F45956">
                  <w:pPr>
                    <w:spacing w:line="240" w:lineRule="auto"/>
                    <w:rPr>
                      <w:rFonts w:ascii="Arial" w:hAnsi="Arial" w:cs="Arial"/>
                      <w:color w:val="000000"/>
                      <w:sz w:val="20"/>
                      <w:szCs w:val="20"/>
                    </w:rPr>
                  </w:pPr>
                  <w:r>
                    <w:rPr>
                      <w:rFonts w:ascii="Arial" w:hAnsi="Arial"/>
                      <w:sz w:val="20"/>
                      <w:szCs w:val="20"/>
                    </w:rPr>
                    <w:t>guillaume.jullienne@michelin.com</w:t>
                  </w:r>
                  <w:r>
                    <w:rPr>
                      <w:rFonts w:ascii="Arial" w:hAnsi="Arial"/>
                      <w:color w:val="000000"/>
                      <w:sz w:val="20"/>
                      <w:szCs w:val="20"/>
                    </w:rPr>
                    <w:t xml:space="preserve"> </w:t>
                  </w:r>
                </w:p>
                <w:p w14:paraId="27B14FD4" w14:textId="77777777" w:rsidR="0021423D" w:rsidRPr="00C96E53" w:rsidRDefault="00A070B5">
                  <w:pPr>
                    <w:spacing w:line="240" w:lineRule="auto"/>
                    <w:rPr>
                      <w:rFonts w:ascii="Arial" w:hAnsi="Arial" w:cs="Arial"/>
                      <w:color w:val="000000"/>
                      <w:sz w:val="20"/>
                      <w:szCs w:val="20"/>
                    </w:rPr>
                  </w:pPr>
                  <w:r>
                    <w:rPr>
                      <w:rFonts w:ascii="Arial" w:hAnsi="Arial"/>
                      <w:color w:val="000000"/>
                      <w:sz w:val="20"/>
                      <w:szCs w:val="20"/>
                    </w:rPr>
                    <w:t xml:space="preserve"> </w:t>
                  </w:r>
                </w:p>
              </w:tc>
            </w:tr>
          </w:tbl>
          <w:p w14:paraId="18A3DB4C" w14:textId="77777777" w:rsidR="0021423D" w:rsidRPr="00C96E53" w:rsidRDefault="0021423D">
            <w:pPr>
              <w:spacing w:after="160"/>
              <w:rPr>
                <w:rFonts w:ascii="Arial" w:eastAsia="Arial" w:hAnsi="Arial" w:cs="Arial"/>
                <w:color w:val="000000"/>
                <w:sz w:val="20"/>
                <w:szCs w:val="20"/>
              </w:rPr>
            </w:pPr>
          </w:p>
          <w:p w14:paraId="6120C33B" w14:textId="77777777" w:rsidR="0021423D" w:rsidRPr="00C96E53" w:rsidRDefault="0021423D">
            <w:pPr>
              <w:spacing w:after="160"/>
              <w:rPr>
                <w:rFonts w:ascii="Arial" w:eastAsia="Arial" w:hAnsi="Arial" w:cs="Arial"/>
                <w:color w:val="000000"/>
                <w:sz w:val="20"/>
                <w:szCs w:val="20"/>
              </w:rPr>
            </w:pPr>
          </w:p>
          <w:p w14:paraId="40EE995B" w14:textId="77777777" w:rsidR="0021423D" w:rsidRPr="00C96E53" w:rsidRDefault="0021423D">
            <w:pPr>
              <w:spacing w:after="160"/>
              <w:rPr>
                <w:rFonts w:ascii="Arial" w:eastAsia="Arial" w:hAnsi="Arial" w:cs="Arial"/>
                <w:b/>
                <w:bCs/>
                <w:i/>
                <w:iCs/>
                <w:color w:val="000000"/>
                <w:sz w:val="20"/>
                <w:szCs w:val="20"/>
              </w:rPr>
            </w:pPr>
          </w:p>
        </w:tc>
        <w:tc>
          <w:tcPr>
            <w:tcW w:w="3132" w:type="dxa"/>
            <w:tcBorders>
              <w:left w:val="nil"/>
            </w:tcBorders>
            <w:tcMar>
              <w:top w:w="0" w:type="dxa"/>
              <w:left w:w="108" w:type="dxa"/>
              <w:bottom w:w="0" w:type="dxa"/>
              <w:right w:w="123" w:type="dxa"/>
            </w:tcMar>
            <w:hideMark/>
          </w:tcPr>
          <w:p w14:paraId="1C7E199E" w14:textId="77777777" w:rsidR="0021423D" w:rsidRPr="00C96E53" w:rsidRDefault="00A070B5">
            <w:pPr>
              <w:spacing w:after="160"/>
              <w:jc w:val="center"/>
              <w:rPr>
                <w:rFonts w:ascii="Arial" w:hAnsi="Arial" w:cs="Arial"/>
                <w:color w:val="000000"/>
                <w:sz w:val="20"/>
                <w:szCs w:val="20"/>
              </w:rPr>
            </w:pPr>
            <w:r>
              <w:rPr>
                <w:rFonts w:ascii="Arial" w:hAnsi="Arial"/>
                <w:b/>
                <w:bCs/>
                <w:color w:val="000000"/>
                <w:sz w:val="20"/>
                <w:szCs w:val="20"/>
              </w:rPr>
              <w:t>FORVIA</w:t>
            </w:r>
          </w:p>
          <w:p w14:paraId="2CA988E8" w14:textId="77777777" w:rsidR="0021423D" w:rsidRPr="00C96E53" w:rsidRDefault="00A070B5">
            <w:pPr>
              <w:spacing w:line="204" w:lineRule="auto"/>
              <w:ind w:left="140" w:right="198"/>
              <w:rPr>
                <w:rFonts w:ascii="Arial" w:hAnsi="Arial" w:cs="Arial"/>
                <w:color w:val="000000"/>
                <w:sz w:val="20"/>
                <w:szCs w:val="20"/>
              </w:rPr>
            </w:pPr>
            <w:r>
              <w:rPr>
                <w:rFonts w:ascii="Arial" w:hAnsi="Arial"/>
                <w:b/>
                <w:bCs/>
                <w:color w:val="000000"/>
                <w:sz w:val="20"/>
                <w:szCs w:val="20"/>
              </w:rPr>
              <w:t>Faurecia</w:t>
            </w:r>
          </w:p>
          <w:p w14:paraId="7EF60332" w14:textId="77777777" w:rsidR="0021423D" w:rsidRPr="00C96E53" w:rsidRDefault="00A070B5">
            <w:pPr>
              <w:spacing w:line="204" w:lineRule="auto"/>
              <w:ind w:left="140" w:right="198"/>
              <w:rPr>
                <w:rFonts w:ascii="Arial" w:hAnsi="Arial" w:cs="Arial"/>
                <w:color w:val="000000"/>
                <w:sz w:val="20"/>
                <w:szCs w:val="20"/>
              </w:rPr>
            </w:pPr>
            <w:r>
              <w:rPr>
                <w:rFonts w:ascii="Arial" w:hAnsi="Arial"/>
                <w:b/>
                <w:bCs/>
                <w:color w:val="000000"/>
                <w:sz w:val="20"/>
                <w:szCs w:val="20"/>
              </w:rPr>
              <w:t>Christophe MALBRANQUE</w:t>
            </w:r>
          </w:p>
          <w:p w14:paraId="3EE589FA" w14:textId="77777777" w:rsidR="0021423D" w:rsidRPr="00C96E53" w:rsidRDefault="00A070B5">
            <w:pPr>
              <w:spacing w:line="204" w:lineRule="auto"/>
              <w:ind w:left="140" w:right="198"/>
              <w:rPr>
                <w:rFonts w:ascii="Arial" w:hAnsi="Arial" w:cs="Arial"/>
                <w:color w:val="000000"/>
                <w:sz w:val="20"/>
                <w:szCs w:val="20"/>
              </w:rPr>
            </w:pPr>
            <w:r>
              <w:rPr>
                <w:rFonts w:ascii="Arial" w:hAnsi="Arial"/>
                <w:color w:val="000000"/>
                <w:sz w:val="20"/>
                <w:szCs w:val="20"/>
              </w:rPr>
              <w:t>Responsable Relations Presse</w:t>
            </w:r>
          </w:p>
          <w:p w14:paraId="06EB1C8E" w14:textId="77777777" w:rsidR="0021423D" w:rsidRPr="00C96E53" w:rsidRDefault="00A070B5">
            <w:pPr>
              <w:spacing w:line="204" w:lineRule="auto"/>
              <w:ind w:left="140" w:right="198"/>
              <w:rPr>
                <w:rFonts w:ascii="Arial" w:hAnsi="Arial" w:cs="Arial"/>
                <w:color w:val="000000"/>
                <w:sz w:val="20"/>
                <w:szCs w:val="20"/>
              </w:rPr>
            </w:pPr>
            <w:r>
              <w:rPr>
                <w:rFonts w:ascii="Arial" w:hAnsi="Arial"/>
                <w:color w:val="000000"/>
                <w:sz w:val="20"/>
                <w:szCs w:val="20"/>
              </w:rPr>
              <w:t>+33 (0)6 21 96 23 53</w:t>
            </w:r>
          </w:p>
          <w:p w14:paraId="04B33A2C" w14:textId="1B539291" w:rsidR="0021423D" w:rsidRPr="00C96E53" w:rsidRDefault="00623E54">
            <w:pPr>
              <w:ind w:left="161"/>
              <w:rPr>
                <w:rFonts w:ascii="Arial" w:hAnsi="Arial" w:cs="Arial"/>
                <w:color w:val="000000"/>
                <w:sz w:val="20"/>
                <w:szCs w:val="20"/>
              </w:rPr>
            </w:pPr>
            <w:hyperlink r:id="rId11" w:history="1">
              <w:r w:rsidR="00864187">
                <w:rPr>
                  <w:rFonts w:ascii="Arial" w:hAnsi="Arial"/>
                  <w:color w:val="000000"/>
                  <w:sz w:val="20"/>
                  <w:szCs w:val="20"/>
                  <w:u w:val="single" w:color="000000"/>
                </w:rPr>
                <w:t>christophe.malbranque@forvia.com</w:t>
              </w:r>
            </w:hyperlink>
          </w:p>
          <w:p w14:paraId="6ACB6181" w14:textId="77777777" w:rsidR="0021423D" w:rsidRPr="00C96E53" w:rsidRDefault="00A070B5">
            <w:pPr>
              <w:rPr>
                <w:rFonts w:ascii="Arial" w:hAnsi="Arial" w:cs="Arial"/>
                <w:color w:val="000000"/>
                <w:sz w:val="20"/>
                <w:szCs w:val="20"/>
              </w:rPr>
            </w:pPr>
            <w:r>
              <w:rPr>
                <w:rFonts w:ascii="Arial" w:hAnsi="Arial"/>
                <w:color w:val="000000"/>
                <w:sz w:val="20"/>
                <w:szCs w:val="20"/>
              </w:rPr>
              <w:t> </w:t>
            </w:r>
          </w:p>
          <w:p w14:paraId="1768828F" w14:textId="77777777" w:rsidR="0021423D" w:rsidRPr="00C96E53" w:rsidRDefault="00A070B5">
            <w:pPr>
              <w:spacing w:line="204" w:lineRule="auto"/>
              <w:ind w:left="140" w:right="198"/>
              <w:rPr>
                <w:rFonts w:ascii="Arial" w:hAnsi="Arial" w:cs="Arial"/>
                <w:color w:val="000000"/>
                <w:sz w:val="20"/>
                <w:szCs w:val="20"/>
              </w:rPr>
            </w:pPr>
            <w:r>
              <w:rPr>
                <w:rFonts w:ascii="Arial" w:hAnsi="Arial"/>
                <w:b/>
                <w:bCs/>
                <w:color w:val="000000"/>
                <w:sz w:val="20"/>
                <w:szCs w:val="20"/>
              </w:rPr>
              <w:t>Faurecia</w:t>
            </w:r>
          </w:p>
          <w:p w14:paraId="1F65629F" w14:textId="77777777" w:rsidR="0021423D" w:rsidRPr="00C96E53" w:rsidRDefault="00A070B5">
            <w:pPr>
              <w:spacing w:line="204" w:lineRule="auto"/>
              <w:ind w:left="140" w:right="198"/>
              <w:rPr>
                <w:rFonts w:ascii="Arial" w:hAnsi="Arial" w:cs="Arial"/>
                <w:color w:val="000000"/>
                <w:sz w:val="20"/>
                <w:szCs w:val="20"/>
              </w:rPr>
            </w:pPr>
            <w:r>
              <w:rPr>
                <w:rFonts w:ascii="Arial" w:hAnsi="Arial"/>
                <w:b/>
                <w:bCs/>
                <w:color w:val="000000"/>
                <w:sz w:val="20"/>
                <w:szCs w:val="20"/>
              </w:rPr>
              <w:t>Marc MAILLET</w:t>
            </w:r>
          </w:p>
          <w:p w14:paraId="0F8529DC" w14:textId="77777777" w:rsidR="0021423D" w:rsidRPr="00C96E53" w:rsidRDefault="00A070B5">
            <w:pPr>
              <w:spacing w:line="204" w:lineRule="auto"/>
              <w:ind w:left="140" w:right="198"/>
              <w:rPr>
                <w:rFonts w:ascii="Arial" w:hAnsi="Arial" w:cs="Arial"/>
                <w:color w:val="000000"/>
                <w:sz w:val="20"/>
                <w:szCs w:val="20"/>
              </w:rPr>
            </w:pPr>
            <w:r>
              <w:rPr>
                <w:rFonts w:ascii="Arial" w:hAnsi="Arial"/>
                <w:color w:val="000000"/>
                <w:sz w:val="20"/>
                <w:szCs w:val="20"/>
              </w:rPr>
              <w:t>Directeur des Relations Investisseurs</w:t>
            </w:r>
          </w:p>
          <w:p w14:paraId="02A383F7" w14:textId="77777777" w:rsidR="0021423D" w:rsidRPr="00C96E53" w:rsidRDefault="00A070B5">
            <w:pPr>
              <w:spacing w:line="204" w:lineRule="auto"/>
              <w:ind w:left="140" w:right="198"/>
              <w:rPr>
                <w:rFonts w:ascii="Arial" w:hAnsi="Arial" w:cs="Arial"/>
                <w:color w:val="000000"/>
                <w:sz w:val="20"/>
                <w:szCs w:val="20"/>
              </w:rPr>
            </w:pPr>
            <w:r>
              <w:rPr>
                <w:rFonts w:ascii="Arial" w:hAnsi="Arial"/>
                <w:color w:val="000000"/>
                <w:sz w:val="20"/>
                <w:szCs w:val="20"/>
              </w:rPr>
              <w:t>+33 (0)1 72 36 75 70</w:t>
            </w:r>
          </w:p>
          <w:p w14:paraId="560A4032" w14:textId="77777777" w:rsidR="0021423D" w:rsidRPr="00C96E53" w:rsidRDefault="00623E54">
            <w:pPr>
              <w:spacing w:line="240" w:lineRule="atLeast"/>
              <w:ind w:left="140"/>
              <w:rPr>
                <w:rFonts w:ascii="Arial" w:hAnsi="Arial" w:cs="Arial"/>
                <w:color w:val="000000"/>
                <w:sz w:val="20"/>
                <w:szCs w:val="20"/>
              </w:rPr>
            </w:pPr>
            <w:hyperlink r:id="rId12" w:history="1">
              <w:r w:rsidR="00864187">
                <w:rPr>
                  <w:rFonts w:ascii="Arial" w:hAnsi="Arial"/>
                  <w:color w:val="000000"/>
                  <w:sz w:val="20"/>
                  <w:szCs w:val="20"/>
                  <w:u w:val="single" w:color="000000"/>
                </w:rPr>
                <w:t>marc.maillet@forvia.com</w:t>
              </w:r>
            </w:hyperlink>
          </w:p>
          <w:p w14:paraId="624D911C" w14:textId="5A619F6E" w:rsidR="0021423D" w:rsidRDefault="00A070B5">
            <w:pPr>
              <w:rPr>
                <w:rFonts w:ascii="Arial" w:eastAsia="Arial" w:hAnsi="Arial" w:cs="Arial"/>
                <w:color w:val="000000"/>
                <w:sz w:val="20"/>
                <w:szCs w:val="20"/>
              </w:rPr>
            </w:pPr>
            <w:r>
              <w:rPr>
                <w:rFonts w:ascii="Arial" w:hAnsi="Arial"/>
                <w:color w:val="000000"/>
                <w:sz w:val="20"/>
                <w:szCs w:val="20"/>
              </w:rPr>
              <w:t> </w:t>
            </w:r>
          </w:p>
          <w:p w14:paraId="4B99687B" w14:textId="77777777" w:rsidR="00A66A3E" w:rsidRDefault="00A66A3E" w:rsidP="00A66A3E">
            <w:pPr>
              <w:spacing w:line="240" w:lineRule="atLeast"/>
              <w:ind w:left="140"/>
              <w:rPr>
                <w:rFonts w:ascii="Arial" w:eastAsia="Arial" w:hAnsi="Arial" w:cs="Arial"/>
                <w:b/>
                <w:bCs/>
                <w:color w:val="000000"/>
                <w:spacing w:val="-2"/>
                <w:sz w:val="20"/>
                <w:szCs w:val="20"/>
              </w:rPr>
            </w:pPr>
            <w:r>
              <w:rPr>
                <w:rFonts w:ascii="Arial" w:hAnsi="Arial"/>
                <w:b/>
                <w:bCs/>
                <w:color w:val="000000"/>
                <w:sz w:val="20"/>
                <w:szCs w:val="20"/>
              </w:rPr>
              <w:t>Sébastien LEROY</w:t>
            </w:r>
          </w:p>
          <w:p w14:paraId="574A1504" w14:textId="77777777" w:rsidR="00A66A3E" w:rsidRDefault="00A66A3E" w:rsidP="00A66A3E">
            <w:pPr>
              <w:spacing w:line="240" w:lineRule="atLeast"/>
              <w:ind w:left="140"/>
              <w:rPr>
                <w:rFonts w:ascii="Arial" w:hAnsi="Arial" w:cs="Arial"/>
                <w:color w:val="000000"/>
                <w:sz w:val="20"/>
                <w:szCs w:val="20"/>
              </w:rPr>
            </w:pPr>
            <w:r>
              <w:rPr>
                <w:rFonts w:ascii="Arial" w:hAnsi="Arial"/>
                <w:color w:val="000000"/>
                <w:sz w:val="20"/>
                <w:szCs w:val="20"/>
              </w:rPr>
              <w:t>Directeur adjoint des Relations Investisseurs</w:t>
            </w:r>
          </w:p>
          <w:p w14:paraId="50152E97" w14:textId="77777777" w:rsidR="00A66A3E" w:rsidRDefault="00A66A3E" w:rsidP="00A66A3E">
            <w:pPr>
              <w:spacing w:line="240" w:lineRule="atLeast"/>
              <w:ind w:left="140"/>
              <w:rPr>
                <w:rFonts w:ascii="Arial" w:hAnsi="Arial" w:cs="Arial"/>
                <w:color w:val="000000"/>
                <w:sz w:val="20"/>
                <w:szCs w:val="20"/>
              </w:rPr>
            </w:pPr>
            <w:r>
              <w:rPr>
                <w:rFonts w:ascii="Arial" w:hAnsi="Arial"/>
                <w:color w:val="000000"/>
                <w:sz w:val="20"/>
                <w:szCs w:val="20"/>
              </w:rPr>
              <w:t>sebastien.leroy@forvia.com</w:t>
            </w:r>
          </w:p>
          <w:p w14:paraId="6E2E2ED4" w14:textId="77777777" w:rsidR="00A66A3E" w:rsidRPr="00C96E53" w:rsidRDefault="00A66A3E">
            <w:pPr>
              <w:rPr>
                <w:rFonts w:ascii="Arial" w:hAnsi="Arial" w:cs="Arial"/>
                <w:color w:val="000000"/>
                <w:sz w:val="20"/>
                <w:szCs w:val="20"/>
              </w:rPr>
            </w:pPr>
          </w:p>
          <w:p w14:paraId="54C4D2EF" w14:textId="77777777" w:rsidR="0021423D" w:rsidRPr="00C96E53" w:rsidRDefault="0021423D">
            <w:pPr>
              <w:spacing w:after="160"/>
              <w:rPr>
                <w:rFonts w:ascii="Arial" w:eastAsia="Arial" w:hAnsi="Arial" w:cs="Arial"/>
                <w:b/>
                <w:bCs/>
                <w:color w:val="000000"/>
                <w:sz w:val="20"/>
                <w:szCs w:val="20"/>
              </w:rPr>
            </w:pPr>
          </w:p>
        </w:tc>
      </w:tr>
    </w:tbl>
    <w:p w14:paraId="02BDC5EE" w14:textId="77777777" w:rsidR="00A070B5" w:rsidRPr="00F45956" w:rsidRDefault="00A070B5">
      <w:pPr>
        <w:spacing w:line="240" w:lineRule="auto"/>
        <w:jc w:val="both"/>
        <w:rPr>
          <w:rFonts w:ascii="Arial" w:eastAsia="Arial" w:hAnsi="Arial" w:cs="Arial"/>
          <w:b/>
          <w:bCs/>
          <w:sz w:val="18"/>
          <w:szCs w:val="18"/>
        </w:rPr>
      </w:pPr>
    </w:p>
    <w:p w14:paraId="66155DF4" w14:textId="77777777" w:rsidR="00A070B5" w:rsidRPr="00F45956" w:rsidRDefault="00A070B5">
      <w:pPr>
        <w:spacing w:line="240" w:lineRule="auto"/>
        <w:jc w:val="both"/>
        <w:rPr>
          <w:rFonts w:ascii="Arial" w:eastAsia="Arial" w:hAnsi="Arial" w:cs="Arial"/>
          <w:b/>
          <w:bCs/>
          <w:sz w:val="18"/>
          <w:szCs w:val="18"/>
        </w:rPr>
      </w:pPr>
    </w:p>
    <w:p w14:paraId="4F820DFA" w14:textId="77777777" w:rsidR="00E07A99" w:rsidRDefault="00E07A99">
      <w:pPr>
        <w:spacing w:line="240" w:lineRule="auto"/>
        <w:rPr>
          <w:rFonts w:ascii="Arial" w:eastAsia="Arial" w:hAnsi="Arial" w:cs="Arial"/>
          <w:b/>
          <w:bCs/>
          <w:sz w:val="18"/>
          <w:szCs w:val="18"/>
        </w:rPr>
      </w:pPr>
      <w:r>
        <w:br w:type="page"/>
      </w:r>
    </w:p>
    <w:p w14:paraId="3C577740" w14:textId="77777777" w:rsidR="00453FAA" w:rsidRDefault="00453FAA" w:rsidP="00EE18C0">
      <w:pPr>
        <w:spacing w:line="240" w:lineRule="auto"/>
        <w:jc w:val="both"/>
        <w:rPr>
          <w:rFonts w:ascii="Arial" w:hAnsi="Arial"/>
          <w:b/>
          <w:bCs/>
          <w:sz w:val="18"/>
          <w:szCs w:val="18"/>
        </w:rPr>
      </w:pPr>
    </w:p>
    <w:p w14:paraId="026DEC93" w14:textId="77777777" w:rsidR="00453FAA" w:rsidRDefault="00453FAA" w:rsidP="00EE18C0">
      <w:pPr>
        <w:spacing w:line="240" w:lineRule="auto"/>
        <w:jc w:val="both"/>
        <w:rPr>
          <w:rFonts w:ascii="Arial" w:hAnsi="Arial"/>
          <w:b/>
          <w:bCs/>
          <w:sz w:val="18"/>
          <w:szCs w:val="18"/>
        </w:rPr>
      </w:pPr>
    </w:p>
    <w:p w14:paraId="1B003C76" w14:textId="0286A4D3" w:rsidR="00EE18C0" w:rsidRPr="00EE18C0" w:rsidRDefault="00EE18C0" w:rsidP="00EE18C0">
      <w:pPr>
        <w:spacing w:line="240" w:lineRule="auto"/>
        <w:jc w:val="both"/>
        <w:rPr>
          <w:rFonts w:ascii="Arial" w:eastAsia="Arial" w:hAnsi="Arial" w:cs="Arial"/>
          <w:b/>
          <w:bCs/>
          <w:sz w:val="18"/>
          <w:szCs w:val="18"/>
        </w:rPr>
      </w:pPr>
      <w:r>
        <w:rPr>
          <w:rFonts w:ascii="Arial" w:hAnsi="Arial"/>
          <w:b/>
          <w:bCs/>
          <w:sz w:val="18"/>
          <w:szCs w:val="18"/>
        </w:rPr>
        <w:t>DÉCLARATIONS PROSPECTIVES DE STELLANTIS</w:t>
      </w:r>
    </w:p>
    <w:p w14:paraId="731C4CC3" w14:textId="126A6B89" w:rsidR="00EE18C0" w:rsidRPr="000F3368" w:rsidRDefault="00EE18C0" w:rsidP="00EE18C0">
      <w:pPr>
        <w:spacing w:line="240" w:lineRule="auto"/>
        <w:jc w:val="both"/>
        <w:rPr>
          <w:rFonts w:ascii="Arial" w:eastAsia="Arial" w:hAnsi="Arial" w:cs="Arial"/>
          <w:sz w:val="18"/>
          <w:szCs w:val="18"/>
        </w:rPr>
      </w:pPr>
      <w:r>
        <w:rPr>
          <w:rFonts w:ascii="Arial" w:hAnsi="Arial"/>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sz w:val="18"/>
          <w:szCs w:val="18"/>
        </w:rPr>
        <w:t>suite à</w:t>
      </w:r>
      <w:proofErr w:type="gramEnd"/>
      <w:r>
        <w:rPr>
          <w:rFonts w:ascii="Arial" w:hAnsi="Arial"/>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Pr>
          <w:rFonts w:ascii="Arial" w:hAnsi="Arial"/>
          <w:sz w:val="18"/>
          <w:szCs w:val="18"/>
        </w:rPr>
        <w:t>de par</w:t>
      </w:r>
      <w:proofErr w:type="gramEnd"/>
      <w:r>
        <w:rPr>
          <w:rFonts w:ascii="Arial" w:hAnsi="Arial"/>
          <w:sz w:val="18"/>
          <w:szCs w:val="18"/>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7AC2124" w14:textId="77777777" w:rsidR="00EE18C0" w:rsidRPr="000F3368" w:rsidRDefault="00EE18C0" w:rsidP="00EE18C0">
      <w:pPr>
        <w:spacing w:line="240" w:lineRule="auto"/>
        <w:jc w:val="both"/>
        <w:rPr>
          <w:rFonts w:ascii="Arial" w:eastAsia="Arial" w:hAnsi="Arial" w:cs="Arial"/>
          <w:sz w:val="18"/>
          <w:szCs w:val="18"/>
        </w:rPr>
      </w:pPr>
    </w:p>
    <w:p w14:paraId="1FB9C323" w14:textId="1FD6F065" w:rsidR="00EE18C0" w:rsidRPr="000F3368" w:rsidRDefault="00EE18C0" w:rsidP="00EE18C0">
      <w:pPr>
        <w:spacing w:line="240" w:lineRule="auto"/>
        <w:jc w:val="both"/>
        <w:rPr>
          <w:rFonts w:ascii="Arial" w:eastAsia="Arial" w:hAnsi="Arial" w:cs="Arial"/>
          <w:sz w:val="18"/>
          <w:szCs w:val="18"/>
        </w:rPr>
      </w:pPr>
      <w:r>
        <w:rPr>
          <w:rFonts w:ascii="Arial" w:hAnsi="Arial"/>
          <w:sz w:val="18"/>
          <w:szCs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291794A6" w14:textId="77777777" w:rsidR="00EE18C0" w:rsidRPr="000F3368" w:rsidRDefault="00EE18C0" w:rsidP="00EE18C0">
      <w:pPr>
        <w:spacing w:line="240" w:lineRule="auto"/>
        <w:jc w:val="both"/>
        <w:rPr>
          <w:rFonts w:ascii="Arial" w:eastAsia="Arial" w:hAnsi="Arial" w:cs="Arial"/>
          <w:sz w:val="18"/>
          <w:szCs w:val="18"/>
        </w:rPr>
      </w:pPr>
    </w:p>
    <w:p w14:paraId="347FD794" w14:textId="183F542A" w:rsidR="00EE18C0" w:rsidRPr="000F3368" w:rsidRDefault="00EE18C0" w:rsidP="00EE18C0">
      <w:pPr>
        <w:spacing w:line="240" w:lineRule="auto"/>
        <w:jc w:val="both"/>
        <w:rPr>
          <w:rFonts w:ascii="Arial" w:eastAsia="Arial" w:hAnsi="Arial" w:cs="Arial"/>
          <w:sz w:val="18"/>
          <w:szCs w:val="18"/>
        </w:rPr>
      </w:pPr>
      <w:r>
        <w:rPr>
          <w:rFonts w:ascii="Arial" w:hAnsi="Arial"/>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57223210" w14:textId="77777777" w:rsidR="0021423D" w:rsidRDefault="0021423D">
      <w:pPr>
        <w:rPr>
          <w:rFonts w:ascii="Arial" w:eastAsia="Arial" w:hAnsi="Arial" w:cs="Arial"/>
          <w:b/>
          <w:bCs/>
          <w:color w:val="373737"/>
        </w:rPr>
      </w:pPr>
    </w:p>
    <w:p w14:paraId="55E76B73" w14:textId="77777777" w:rsidR="0021423D" w:rsidRDefault="0021423D">
      <w:pPr>
        <w:spacing w:after="160"/>
        <w:jc w:val="center"/>
      </w:pPr>
    </w:p>
    <w:sectPr w:rsidR="0021423D" w:rsidSect="00A070B5">
      <w:headerReference w:type="default" r:id="rId13"/>
      <w:pgSz w:w="12240" w:h="15840"/>
      <w:pgMar w:top="1440" w:right="1440" w:bottom="113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DED1" w14:textId="77777777" w:rsidR="008A1FEF" w:rsidRDefault="008A1FEF">
      <w:pPr>
        <w:spacing w:line="240" w:lineRule="auto"/>
      </w:pPr>
      <w:r>
        <w:separator/>
      </w:r>
    </w:p>
  </w:endnote>
  <w:endnote w:type="continuationSeparator" w:id="0">
    <w:p w14:paraId="0A0AF030" w14:textId="77777777" w:rsidR="008A1FEF" w:rsidRDefault="008A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A082" w14:textId="77777777" w:rsidR="008A1FEF" w:rsidRDefault="008A1FEF">
      <w:pPr>
        <w:spacing w:line="240" w:lineRule="auto"/>
      </w:pPr>
      <w:r>
        <w:separator/>
      </w:r>
    </w:p>
  </w:footnote>
  <w:footnote w:type="continuationSeparator" w:id="0">
    <w:p w14:paraId="6D7AA7E6" w14:textId="77777777" w:rsidR="008A1FEF" w:rsidRDefault="008A1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3EB4" w14:textId="630BC45A" w:rsidR="0021423D" w:rsidRDefault="00A070B5">
    <w:pPr>
      <w:spacing w:line="240" w:lineRule="auto"/>
      <w:jc w:val="center"/>
    </w:pPr>
    <w:r>
      <w:t xml:space="preserve">   </w:t>
    </w:r>
    <w:r>
      <w:rPr>
        <w:noProof/>
      </w:rPr>
      <w:drawing>
        <wp:inline distT="0" distB="0" distL="0" distR="0" wp14:anchorId="291D6C2D" wp14:editId="68CBD529">
          <wp:extent cx="1695450" cy="6562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247" cy="661990"/>
                  </a:xfrm>
                  <a:prstGeom prst="rect">
                    <a:avLst/>
                  </a:prstGeom>
                  <a:noFill/>
                  <a:ln>
                    <a:noFill/>
                  </a:ln>
                </pic:spPr>
              </pic:pic>
            </a:graphicData>
          </a:graphic>
        </wp:inline>
      </w:drawing>
    </w:r>
    <w:r>
      <w:t xml:space="preserve">          </w:t>
    </w:r>
    <w:r>
      <w:rPr>
        <w:noProof/>
      </w:rPr>
      <w:drawing>
        <wp:inline distT="0" distB="0" distL="0" distR="0" wp14:anchorId="3D650F5E" wp14:editId="42CB564D">
          <wp:extent cx="1422400" cy="7484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48430"/>
                  </a:xfrm>
                  <a:prstGeom prst="rect">
                    <a:avLst/>
                  </a:prstGeom>
                  <a:noFill/>
                  <a:ln>
                    <a:noFill/>
                  </a:ln>
                </pic:spPr>
              </pic:pic>
            </a:graphicData>
          </a:graphic>
        </wp:inline>
      </w:drawing>
    </w:r>
    <w:r>
      <w:rPr>
        <w:rFonts w:ascii="Arial" w:hAnsi="Arial"/>
        <w:b/>
        <w:bCs/>
        <w:color w:val="1B365E"/>
        <w:sz w:val="20"/>
        <w:szCs w:val="20"/>
      </w:rPr>
      <w:t xml:space="preserve">         </w:t>
    </w:r>
    <w:r>
      <w:rPr>
        <w:noProof/>
      </w:rPr>
      <w:drawing>
        <wp:inline distT="0" distB="0" distL="0" distR="0" wp14:anchorId="6D41A7A5" wp14:editId="0AC96153">
          <wp:extent cx="1871631" cy="546100"/>
          <wp:effectExtent l="0" t="0" r="0" b="0"/>
          <wp:docPr id="9" name="Image 9"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ellantis_Signature_RGB-0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95588" cy="553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3D"/>
    <w:rsid w:val="00011867"/>
    <w:rsid w:val="00017479"/>
    <w:rsid w:val="00041ACB"/>
    <w:rsid w:val="000C79CB"/>
    <w:rsid w:val="000F3368"/>
    <w:rsid w:val="0011680E"/>
    <w:rsid w:val="001508DF"/>
    <w:rsid w:val="001771B8"/>
    <w:rsid w:val="001E4071"/>
    <w:rsid w:val="001E6641"/>
    <w:rsid w:val="001F4AD4"/>
    <w:rsid w:val="00211A5C"/>
    <w:rsid w:val="0021423D"/>
    <w:rsid w:val="00275795"/>
    <w:rsid w:val="002B0651"/>
    <w:rsid w:val="00332A5C"/>
    <w:rsid w:val="00383ACA"/>
    <w:rsid w:val="003B2539"/>
    <w:rsid w:val="00402099"/>
    <w:rsid w:val="0042183A"/>
    <w:rsid w:val="004444F0"/>
    <w:rsid w:val="00453FAA"/>
    <w:rsid w:val="004C7F7C"/>
    <w:rsid w:val="00517E33"/>
    <w:rsid w:val="00524D75"/>
    <w:rsid w:val="0054727B"/>
    <w:rsid w:val="00573106"/>
    <w:rsid w:val="005B203E"/>
    <w:rsid w:val="00604C72"/>
    <w:rsid w:val="00623E54"/>
    <w:rsid w:val="006612D8"/>
    <w:rsid w:val="00671702"/>
    <w:rsid w:val="006A3DF2"/>
    <w:rsid w:val="00733195"/>
    <w:rsid w:val="00751CBC"/>
    <w:rsid w:val="00794280"/>
    <w:rsid w:val="007A2F47"/>
    <w:rsid w:val="00803FA8"/>
    <w:rsid w:val="0084717F"/>
    <w:rsid w:val="00862A12"/>
    <w:rsid w:val="00864187"/>
    <w:rsid w:val="00882F55"/>
    <w:rsid w:val="008A1AC6"/>
    <w:rsid w:val="008A1FEF"/>
    <w:rsid w:val="009C2BE4"/>
    <w:rsid w:val="009C76DB"/>
    <w:rsid w:val="009F7576"/>
    <w:rsid w:val="00A070B5"/>
    <w:rsid w:val="00A51511"/>
    <w:rsid w:val="00A66A3E"/>
    <w:rsid w:val="00A90F0C"/>
    <w:rsid w:val="00A910DF"/>
    <w:rsid w:val="00B257D7"/>
    <w:rsid w:val="00B736E3"/>
    <w:rsid w:val="00BB2051"/>
    <w:rsid w:val="00C318D0"/>
    <w:rsid w:val="00C96E53"/>
    <w:rsid w:val="00CD489F"/>
    <w:rsid w:val="00CE5E4A"/>
    <w:rsid w:val="00D03B91"/>
    <w:rsid w:val="00D13DBD"/>
    <w:rsid w:val="00D4704B"/>
    <w:rsid w:val="00D92D5B"/>
    <w:rsid w:val="00D97243"/>
    <w:rsid w:val="00DD0CEA"/>
    <w:rsid w:val="00DE2DC5"/>
    <w:rsid w:val="00E07A99"/>
    <w:rsid w:val="00E66258"/>
    <w:rsid w:val="00EE18C0"/>
    <w:rsid w:val="00F20199"/>
    <w:rsid w:val="00F275DB"/>
    <w:rsid w:val="00F45956"/>
    <w:rsid w:val="00F462DC"/>
    <w:rsid w:val="00F817F0"/>
    <w:rsid w:val="00FA098F"/>
    <w:rsid w:val="00FC70A9"/>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CA91C"/>
  <w15:docId w15:val="{5EAB6441-FF35-4C39-9660-5390B8F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A070B5"/>
    <w:pPr>
      <w:tabs>
        <w:tab w:val="center" w:pos="4536"/>
        <w:tab w:val="right" w:pos="9072"/>
      </w:tabs>
      <w:spacing w:line="240" w:lineRule="auto"/>
    </w:pPr>
  </w:style>
  <w:style w:type="character" w:customStyle="1" w:styleId="HeaderChar">
    <w:name w:val="Header Char"/>
    <w:basedOn w:val="DefaultParagraphFont"/>
    <w:link w:val="Header"/>
    <w:uiPriority w:val="99"/>
    <w:rsid w:val="00A070B5"/>
    <w:rPr>
      <w:rFonts w:ascii="Calibri" w:eastAsia="Calibri" w:hAnsi="Calibri" w:cs="Calibri"/>
      <w:sz w:val="22"/>
      <w:szCs w:val="22"/>
    </w:rPr>
  </w:style>
  <w:style w:type="paragraph" w:styleId="Footer">
    <w:name w:val="footer"/>
    <w:basedOn w:val="Normal"/>
    <w:link w:val="FooterChar"/>
    <w:uiPriority w:val="99"/>
    <w:unhideWhenUsed/>
    <w:rsid w:val="00A070B5"/>
    <w:pPr>
      <w:tabs>
        <w:tab w:val="center" w:pos="4536"/>
        <w:tab w:val="right" w:pos="9072"/>
      </w:tabs>
      <w:spacing w:line="240" w:lineRule="auto"/>
    </w:pPr>
  </w:style>
  <w:style w:type="character" w:customStyle="1" w:styleId="FooterChar">
    <w:name w:val="Footer Char"/>
    <w:basedOn w:val="DefaultParagraphFont"/>
    <w:link w:val="Footer"/>
    <w:uiPriority w:val="99"/>
    <w:rsid w:val="00A070B5"/>
    <w:rPr>
      <w:rFonts w:ascii="Calibri" w:eastAsia="Calibri" w:hAnsi="Calibri" w:cs="Calibri"/>
      <w:sz w:val="22"/>
      <w:szCs w:val="22"/>
    </w:rPr>
  </w:style>
  <w:style w:type="character" w:styleId="Hyperlink">
    <w:name w:val="Hyperlink"/>
    <w:basedOn w:val="DefaultParagraphFont"/>
    <w:uiPriority w:val="99"/>
    <w:unhideWhenUsed/>
    <w:rsid w:val="00F45956"/>
    <w:rPr>
      <w:color w:val="0000FF" w:themeColor="hyperlink"/>
      <w:u w:val="single"/>
    </w:rPr>
  </w:style>
  <w:style w:type="character" w:styleId="UnresolvedMention">
    <w:name w:val="Unresolved Mention"/>
    <w:basedOn w:val="DefaultParagraphFont"/>
    <w:uiPriority w:val="99"/>
    <w:semiHidden/>
    <w:unhideWhenUsed/>
    <w:rsid w:val="00C96E53"/>
    <w:rPr>
      <w:color w:val="605E5C"/>
      <w:shd w:val="clear" w:color="auto" w:fill="E1DFDD"/>
    </w:rPr>
  </w:style>
  <w:style w:type="paragraph" w:styleId="Revision">
    <w:name w:val="Revision"/>
    <w:hidden/>
    <w:uiPriority w:val="99"/>
    <w:semiHidden/>
    <w:rsid w:val="00EE18C0"/>
    <w:rPr>
      <w:rFonts w:ascii="Calibri" w:eastAsia="Calibri" w:hAnsi="Calibri" w:cs="Calibri"/>
      <w:sz w:val="22"/>
      <w:szCs w:val="22"/>
    </w:rPr>
  </w:style>
  <w:style w:type="paragraph" w:customStyle="1" w:styleId="xmsonormal">
    <w:name w:val="x_msonormal"/>
    <w:basedOn w:val="Normal"/>
    <w:rsid w:val="00041ACB"/>
    <w:pPr>
      <w:spacing w:line="240" w:lineRule="auto"/>
    </w:pPr>
    <w:rPr>
      <w:rFonts w:eastAsiaTheme="minorEastAsia"/>
      <w:lang w:eastAsia="zh-CN" w:bidi="th-TH"/>
    </w:rPr>
  </w:style>
  <w:style w:type="paragraph" w:styleId="CommentText">
    <w:name w:val="annotation text"/>
    <w:basedOn w:val="Normal"/>
    <w:link w:val="CommentTextChar"/>
    <w:uiPriority w:val="99"/>
    <w:semiHidden/>
    <w:unhideWhenUsed/>
    <w:rsid w:val="00A66A3E"/>
    <w:pPr>
      <w:spacing w:line="240" w:lineRule="auto"/>
    </w:pPr>
    <w:rPr>
      <w:sz w:val="20"/>
      <w:szCs w:val="20"/>
    </w:rPr>
  </w:style>
  <w:style w:type="character" w:customStyle="1" w:styleId="CommentTextChar">
    <w:name w:val="Comment Text Char"/>
    <w:basedOn w:val="DefaultParagraphFont"/>
    <w:link w:val="CommentText"/>
    <w:uiPriority w:val="99"/>
    <w:semiHidden/>
    <w:rsid w:val="00A66A3E"/>
    <w:rPr>
      <w:rFonts w:ascii="Calibri" w:eastAsia="Calibri" w:hAnsi="Calibri" w:cs="Calibri"/>
    </w:rPr>
  </w:style>
  <w:style w:type="character" w:styleId="CommentReference">
    <w:name w:val="annotation reference"/>
    <w:basedOn w:val="DefaultParagraphFont"/>
    <w:uiPriority w:val="99"/>
    <w:semiHidden/>
    <w:unhideWhenUsed/>
    <w:rsid w:val="00A66A3E"/>
    <w:rPr>
      <w:sz w:val="16"/>
      <w:szCs w:val="16"/>
    </w:rPr>
  </w:style>
  <w:style w:type="paragraph" w:styleId="CommentSubject">
    <w:name w:val="annotation subject"/>
    <w:basedOn w:val="CommentText"/>
    <w:next w:val="CommentText"/>
    <w:link w:val="CommentSubjectChar"/>
    <w:uiPriority w:val="99"/>
    <w:semiHidden/>
    <w:unhideWhenUsed/>
    <w:rsid w:val="00733195"/>
    <w:rPr>
      <w:b/>
      <w:bCs/>
    </w:rPr>
  </w:style>
  <w:style w:type="character" w:customStyle="1" w:styleId="CommentSubjectChar">
    <w:name w:val="Comment Subject Char"/>
    <w:basedOn w:val="CommentTextChar"/>
    <w:link w:val="CommentSubject"/>
    <w:uiPriority w:val="99"/>
    <w:semiHidden/>
    <w:rsid w:val="00733195"/>
    <w:rPr>
      <w:rFonts w:ascii="Calibri" w:eastAsia="Calibri" w:hAnsi="Calibri" w:cs="Calibri"/>
      <w:b/>
      <w:bCs/>
    </w:rPr>
  </w:style>
  <w:style w:type="character" w:customStyle="1" w:styleId="ui-provider">
    <w:name w:val="ui-provider"/>
    <w:basedOn w:val="DefaultParagraphFont"/>
    <w:rsid w:val="00D0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1299535549">
      <w:bodyDiv w:val="1"/>
      <w:marLeft w:val="0"/>
      <w:marRight w:val="0"/>
      <w:marTop w:val="0"/>
      <w:marBottom w:val="0"/>
      <w:divBdr>
        <w:top w:val="none" w:sz="0" w:space="0" w:color="auto"/>
        <w:left w:val="none" w:sz="0" w:space="0" w:color="auto"/>
        <w:bottom w:val="none" w:sz="0" w:space="0" w:color="auto"/>
        <w:right w:val="none" w:sz="0" w:space="0" w:color="auto"/>
      </w:divBdr>
    </w:div>
    <w:div w:id="153422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elin.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rvia.com" TargetMode="External"/><Relationship Id="rId12" Type="http://schemas.openxmlformats.org/officeDocument/2006/relationships/hyperlink" Target="mailto:marc.maillet@forv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llantis.com" TargetMode="External"/><Relationship Id="rId11" Type="http://schemas.openxmlformats.org/officeDocument/2006/relationships/hyperlink" Target="mailto:christophe.malbranque@forv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tellantis.com" TargetMode="External"/><Relationship Id="rId4" Type="http://schemas.openxmlformats.org/officeDocument/2006/relationships/footnotes" Target="footnotes.xml"/><Relationship Id="rId9" Type="http://schemas.openxmlformats.org/officeDocument/2006/relationships/hyperlink" Target="mailto:fernao.silveira@stellant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915F3.B19C0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2049</Words>
  <Characters>11681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4</cp:revision>
  <dcterms:created xsi:type="dcterms:W3CDTF">2023-05-15T16:22:00Z</dcterms:created>
  <dcterms:modified xsi:type="dcterms:W3CDTF">2023-05-16T04:31:00Z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2022-12-22T17:06:56Z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6ad52b6e-d425-4d39-ba6d-1184abbf9ad0</vt:lpwstr>
  </property>
  <property fmtid="{D5CDD505-2E9C-101B-9397-08002B2CF9AE}" pid="8" name="MSIP_Label_09e9a456-2778-4ca9-be06-1190b1e1118a_ContentBits">
    <vt:lpwstr>0</vt:lpwstr>
  </property>
  <property fmtid="{D5CDD505-2E9C-101B-9397-08002B2CF9AE}" pid="9" name="MSIP_Label_2fd53d93-3f4c-4b90-b511-bd6bdbb4fba9_Enabled">
    <vt:lpwstr>true</vt:lpwstr>
  </property>
  <property fmtid="{D5CDD505-2E9C-101B-9397-08002B2CF9AE}" pid="10" name="MSIP_Label_2fd53d93-3f4c-4b90-b511-bd6bdbb4fba9_SetDate">
    <vt:lpwstr>2023-05-15T10:15:55Z</vt:lpwstr>
  </property>
  <property fmtid="{D5CDD505-2E9C-101B-9397-08002B2CF9AE}" pid="11" name="MSIP_Label_2fd53d93-3f4c-4b90-b511-bd6bdbb4fba9_Method">
    <vt:lpwstr>Standard</vt:lpwstr>
  </property>
  <property fmtid="{D5CDD505-2E9C-101B-9397-08002B2CF9AE}" pid="12" name="MSIP_Label_2fd53d93-3f4c-4b90-b511-bd6bdbb4fba9_Name">
    <vt:lpwstr>2fd53d93-3f4c-4b90-b511-bd6bdbb4fba9</vt:lpwstr>
  </property>
  <property fmtid="{D5CDD505-2E9C-101B-9397-08002B2CF9AE}" pid="13" name="MSIP_Label_2fd53d93-3f4c-4b90-b511-bd6bdbb4fba9_SiteId">
    <vt:lpwstr>d852d5cd-724c-4128-8812-ffa5db3f8507</vt:lpwstr>
  </property>
  <property fmtid="{D5CDD505-2E9C-101B-9397-08002B2CF9AE}" pid="14" name="MSIP_Label_2fd53d93-3f4c-4b90-b511-bd6bdbb4fba9_ActionId">
    <vt:lpwstr>7091debf-3313-464c-9dcc-9295eb13e31a</vt:lpwstr>
  </property>
  <property fmtid="{D5CDD505-2E9C-101B-9397-08002B2CF9AE}" pid="15" name="MSIP_Label_2fd53d93-3f4c-4b90-b511-bd6bdbb4fba9_ContentBits">
    <vt:lpwstr>0</vt:lpwstr>
  </property>
</Properties>
</file>