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2639" w14:textId="56A32078" w:rsidR="00D90200" w:rsidRPr="00E241A7" w:rsidRDefault="00DA44D2" w:rsidP="00DF3488">
      <w:pPr>
        <w:pBdr>
          <w:top w:val="nil"/>
          <w:left w:val="nil"/>
          <w:bottom w:val="nil"/>
          <w:right w:val="nil"/>
          <w:between w:val="nil"/>
        </w:pBdr>
        <w:spacing w:after="480"/>
        <w:ind w:right="-344"/>
        <w:jc w:val="center"/>
        <w:rPr>
          <w:rFonts w:ascii="Arial" w:eastAsia="Arial" w:hAnsi="Arial" w:cs="Arial"/>
          <w:b/>
          <w:color w:val="000000"/>
          <w:sz w:val="28"/>
          <w:szCs w:val="28"/>
        </w:rPr>
      </w:pPr>
      <w:r>
        <w:rPr>
          <w:rFonts w:ascii="Arial" w:hAnsi="Arial"/>
          <w:b/>
          <w:color w:val="000000"/>
          <w:sz w:val="28"/>
          <w:szCs w:val="28"/>
        </w:rPr>
        <w:t xml:space="preserve">Stellantis </w:t>
      </w:r>
      <w:r w:rsidR="00EB1B58">
        <w:rPr>
          <w:rFonts w:ascii="Arial" w:hAnsi="Arial"/>
          <w:b/>
          <w:color w:val="000000"/>
          <w:sz w:val="28"/>
          <w:szCs w:val="28"/>
        </w:rPr>
        <w:t>investit</w:t>
      </w:r>
      <w:r>
        <w:rPr>
          <w:rFonts w:ascii="Arial" w:hAnsi="Arial"/>
          <w:b/>
          <w:color w:val="000000"/>
          <w:sz w:val="28"/>
          <w:szCs w:val="28"/>
        </w:rPr>
        <w:t xml:space="preserve"> dans </w:t>
      </w:r>
      <w:r w:rsidR="002A2391">
        <w:rPr>
          <w:rFonts w:ascii="Arial" w:hAnsi="Arial"/>
          <w:b/>
          <w:color w:val="000000"/>
          <w:sz w:val="28"/>
          <w:szCs w:val="28"/>
        </w:rPr>
        <w:t xml:space="preserve">la société </w:t>
      </w:r>
      <w:r>
        <w:rPr>
          <w:rFonts w:ascii="Arial" w:hAnsi="Arial"/>
          <w:b/>
          <w:color w:val="000000"/>
          <w:sz w:val="28"/>
          <w:szCs w:val="28"/>
        </w:rPr>
        <w:t xml:space="preserve">Lyten et sa technologie </w:t>
      </w:r>
      <w:r w:rsidR="00EB1B58">
        <w:rPr>
          <w:rFonts w:ascii="Arial" w:hAnsi="Arial"/>
          <w:b/>
          <w:color w:val="000000"/>
          <w:sz w:val="28"/>
          <w:szCs w:val="28"/>
        </w:rPr>
        <w:t xml:space="preserve">de pointe </w:t>
      </w:r>
      <w:r w:rsidR="002A2391">
        <w:rPr>
          <w:rFonts w:ascii="Arial" w:hAnsi="Arial"/>
          <w:b/>
          <w:color w:val="000000"/>
          <w:sz w:val="28"/>
          <w:szCs w:val="28"/>
        </w:rPr>
        <w:t>de</w:t>
      </w:r>
      <w:r w:rsidR="00EB1B58">
        <w:rPr>
          <w:rFonts w:ascii="Arial" w:hAnsi="Arial"/>
          <w:b/>
          <w:color w:val="000000"/>
          <w:sz w:val="28"/>
          <w:szCs w:val="28"/>
        </w:rPr>
        <w:t xml:space="preserve"> </w:t>
      </w:r>
      <w:r>
        <w:rPr>
          <w:rFonts w:ascii="Arial" w:hAnsi="Arial"/>
          <w:b/>
          <w:color w:val="000000"/>
          <w:sz w:val="28"/>
          <w:szCs w:val="28"/>
        </w:rPr>
        <w:t>batterie</w:t>
      </w:r>
      <w:r w:rsidR="00EB1B58">
        <w:rPr>
          <w:rFonts w:ascii="Arial" w:hAnsi="Arial"/>
          <w:b/>
          <w:color w:val="000000"/>
          <w:sz w:val="28"/>
          <w:szCs w:val="28"/>
        </w:rPr>
        <w:t>s</w:t>
      </w:r>
      <w:r>
        <w:rPr>
          <w:rFonts w:ascii="Arial" w:hAnsi="Arial"/>
          <w:b/>
          <w:color w:val="000000"/>
          <w:sz w:val="28"/>
          <w:szCs w:val="28"/>
        </w:rPr>
        <w:t xml:space="preserve"> </w:t>
      </w:r>
      <w:r w:rsidR="00267C1F">
        <w:rPr>
          <w:rFonts w:ascii="Arial" w:hAnsi="Arial"/>
          <w:b/>
          <w:color w:val="000000"/>
          <w:sz w:val="28"/>
          <w:szCs w:val="28"/>
        </w:rPr>
        <w:t>L</w:t>
      </w:r>
      <w:r w:rsidR="002A2391">
        <w:rPr>
          <w:rFonts w:ascii="Arial" w:hAnsi="Arial"/>
          <w:b/>
          <w:color w:val="000000"/>
          <w:sz w:val="28"/>
          <w:szCs w:val="28"/>
        </w:rPr>
        <w:t>ithium-</w:t>
      </w:r>
      <w:r w:rsidR="00267C1F">
        <w:rPr>
          <w:rFonts w:ascii="Arial" w:hAnsi="Arial"/>
          <w:b/>
          <w:color w:val="000000"/>
          <w:sz w:val="28"/>
          <w:szCs w:val="28"/>
        </w:rPr>
        <w:t>S</w:t>
      </w:r>
      <w:r w:rsidR="002A2391">
        <w:rPr>
          <w:rFonts w:ascii="Arial" w:hAnsi="Arial"/>
          <w:b/>
          <w:color w:val="000000"/>
          <w:sz w:val="28"/>
          <w:szCs w:val="28"/>
        </w:rPr>
        <w:t>oufre pour</w:t>
      </w:r>
      <w:r w:rsidR="00EB1B58">
        <w:rPr>
          <w:rFonts w:ascii="Arial" w:hAnsi="Arial"/>
          <w:b/>
          <w:color w:val="000000"/>
          <w:sz w:val="28"/>
          <w:szCs w:val="28"/>
        </w:rPr>
        <w:t xml:space="preserve"> véhicules électriques</w:t>
      </w:r>
      <w:r w:rsidR="002A2391">
        <w:rPr>
          <w:rFonts w:ascii="Arial" w:hAnsi="Arial"/>
          <w:b/>
          <w:color w:val="000000"/>
          <w:sz w:val="28"/>
          <w:szCs w:val="28"/>
        </w:rPr>
        <w:t xml:space="preserve"> </w:t>
      </w:r>
    </w:p>
    <w:p w14:paraId="756288A1" w14:textId="68D3BD48" w:rsidR="004272EE" w:rsidRDefault="004272EE" w:rsidP="00A336CD">
      <w:pPr>
        <w:pStyle w:val="ListParagraph"/>
        <w:numPr>
          <w:ilvl w:val="0"/>
          <w:numId w:val="4"/>
        </w:numPr>
        <w:spacing w:after="0"/>
        <w:ind w:right="-344"/>
        <w:rPr>
          <w:rFonts w:ascii="Arial" w:eastAsia="Arial" w:hAnsi="Arial" w:cs="Arial"/>
          <w:sz w:val="22"/>
          <w:szCs w:val="22"/>
        </w:rPr>
      </w:pPr>
      <w:r>
        <w:rPr>
          <w:rFonts w:ascii="Arial" w:hAnsi="Arial"/>
          <w:sz w:val="22"/>
          <w:szCs w:val="22"/>
        </w:rPr>
        <w:t xml:space="preserve">Implanté dans la Silicon Valley, Lyten est un pionnier du graphène </w:t>
      </w:r>
      <w:r w:rsidRPr="00203AFE">
        <w:rPr>
          <w:rFonts w:ascii="Arial" w:hAnsi="Arial"/>
          <w:sz w:val="22"/>
          <w:szCs w:val="22"/>
        </w:rPr>
        <w:t xml:space="preserve">tridimensionnel </w:t>
      </w:r>
      <w:r w:rsidR="003B16F1" w:rsidRPr="00203AFE">
        <w:rPr>
          <w:rFonts w:ascii="Arial" w:hAnsi="Arial"/>
          <w:sz w:val="22"/>
          <w:szCs w:val="22"/>
        </w:rPr>
        <w:t>a</w:t>
      </w:r>
      <w:r w:rsidR="005B2FE4" w:rsidRPr="00203AFE">
        <w:rPr>
          <w:rFonts w:ascii="Arial" w:hAnsi="Arial"/>
          <w:sz w:val="22"/>
          <w:szCs w:val="22"/>
        </w:rPr>
        <w:t>justable</w:t>
      </w:r>
      <w:r w:rsidRPr="00203AFE">
        <w:rPr>
          <w:rFonts w:ascii="Arial" w:hAnsi="Arial"/>
          <w:sz w:val="22"/>
          <w:szCs w:val="22"/>
        </w:rPr>
        <w:t>, un matériau qui s’annonce extrêmement prometteur</w:t>
      </w:r>
      <w:r>
        <w:rPr>
          <w:rFonts w:ascii="Arial" w:hAnsi="Arial"/>
          <w:sz w:val="22"/>
          <w:szCs w:val="22"/>
        </w:rPr>
        <w:t xml:space="preserve"> pour réduire les émissions de gaz à effet de serre et accélérer la transition vers la mobilité durable</w:t>
      </w:r>
    </w:p>
    <w:p w14:paraId="5B11C115" w14:textId="067AC740" w:rsidR="004272EE" w:rsidRDefault="004272EE" w:rsidP="00A336CD">
      <w:pPr>
        <w:pStyle w:val="ListParagraph"/>
        <w:numPr>
          <w:ilvl w:val="0"/>
          <w:numId w:val="4"/>
        </w:numPr>
        <w:spacing w:after="0"/>
        <w:ind w:right="-344"/>
        <w:rPr>
          <w:rFonts w:ascii="Arial" w:eastAsia="Arial" w:hAnsi="Arial" w:cs="Arial"/>
          <w:sz w:val="22"/>
          <w:szCs w:val="22"/>
        </w:rPr>
      </w:pPr>
      <w:r w:rsidRPr="003B16F1">
        <w:rPr>
          <w:rFonts w:ascii="Arial" w:hAnsi="Arial"/>
          <w:sz w:val="22"/>
          <w:szCs w:val="22"/>
        </w:rPr>
        <w:t>Stellantis et Lyten développer</w:t>
      </w:r>
      <w:r w:rsidR="002A2391" w:rsidRPr="003B16F1">
        <w:rPr>
          <w:rFonts w:ascii="Arial" w:hAnsi="Arial"/>
          <w:sz w:val="22"/>
          <w:szCs w:val="22"/>
        </w:rPr>
        <w:t>ont</w:t>
      </w:r>
      <w:r w:rsidRPr="003B16F1">
        <w:rPr>
          <w:rFonts w:ascii="Arial" w:hAnsi="Arial"/>
          <w:sz w:val="22"/>
          <w:szCs w:val="22"/>
        </w:rPr>
        <w:t xml:space="preserve"> des batteries </w:t>
      </w:r>
      <w:r w:rsidR="003158BE" w:rsidRPr="003B16F1">
        <w:rPr>
          <w:rFonts w:ascii="Arial" w:eastAsia="Arial" w:hAnsi="Arial" w:cs="Arial"/>
          <w:sz w:val="22"/>
          <w:szCs w:val="22"/>
        </w:rPr>
        <w:t xml:space="preserve">au </w:t>
      </w:r>
      <w:r w:rsidR="00267C1F">
        <w:rPr>
          <w:rFonts w:ascii="Arial" w:eastAsia="Arial" w:hAnsi="Arial" w:cs="Arial"/>
          <w:sz w:val="22"/>
          <w:szCs w:val="22"/>
        </w:rPr>
        <w:t>Lithium-Soufre</w:t>
      </w:r>
      <w:r w:rsidR="003158BE" w:rsidRPr="003B16F1">
        <w:rPr>
          <w:rFonts w:ascii="Arial" w:eastAsia="Arial" w:hAnsi="Arial" w:cs="Arial"/>
          <w:sz w:val="22"/>
          <w:szCs w:val="22"/>
        </w:rPr>
        <w:t xml:space="preserve"> </w:t>
      </w:r>
      <w:r w:rsidR="002A2391" w:rsidRPr="003B16F1">
        <w:rPr>
          <w:rFonts w:ascii="Arial" w:eastAsia="Arial" w:hAnsi="Arial" w:cs="Arial"/>
          <w:sz w:val="22"/>
          <w:szCs w:val="22"/>
        </w:rPr>
        <w:t>pour</w:t>
      </w:r>
      <w:r w:rsidR="003158BE" w:rsidRPr="003B16F1">
        <w:rPr>
          <w:rFonts w:ascii="Arial" w:eastAsia="Arial" w:hAnsi="Arial" w:cs="Arial"/>
          <w:sz w:val="22"/>
          <w:szCs w:val="22"/>
        </w:rPr>
        <w:t xml:space="preserve"> véhicules électriques</w:t>
      </w:r>
      <w:r w:rsidR="002A2391" w:rsidRPr="003B16F1">
        <w:rPr>
          <w:rFonts w:ascii="Arial" w:eastAsia="Arial" w:hAnsi="Arial" w:cs="Arial"/>
          <w:sz w:val="22"/>
          <w:szCs w:val="22"/>
        </w:rPr>
        <w:t xml:space="preserve">, </w:t>
      </w:r>
      <w:r w:rsidRPr="003B16F1">
        <w:rPr>
          <w:rFonts w:ascii="Arial" w:hAnsi="Arial"/>
          <w:sz w:val="22"/>
          <w:szCs w:val="22"/>
        </w:rPr>
        <w:t xml:space="preserve">des solutions </w:t>
      </w:r>
      <w:r w:rsidR="002A2391" w:rsidRPr="003B16F1">
        <w:rPr>
          <w:rFonts w:ascii="Arial" w:hAnsi="Arial"/>
          <w:sz w:val="22"/>
          <w:szCs w:val="22"/>
        </w:rPr>
        <w:t xml:space="preserve">pour </w:t>
      </w:r>
      <w:r w:rsidRPr="003B16F1">
        <w:rPr>
          <w:rFonts w:ascii="Arial" w:hAnsi="Arial"/>
          <w:sz w:val="22"/>
          <w:szCs w:val="22"/>
        </w:rPr>
        <w:t>all</w:t>
      </w:r>
      <w:r w:rsidR="002A2391" w:rsidRPr="003B16F1">
        <w:rPr>
          <w:rFonts w:ascii="Arial" w:hAnsi="Arial"/>
          <w:sz w:val="22"/>
          <w:szCs w:val="22"/>
        </w:rPr>
        <w:t>é</w:t>
      </w:r>
      <w:r w:rsidRPr="003B16F1">
        <w:rPr>
          <w:rFonts w:ascii="Arial" w:hAnsi="Arial"/>
          <w:sz w:val="22"/>
          <w:szCs w:val="22"/>
        </w:rPr>
        <w:t>ger les v</w:t>
      </w:r>
      <w:r w:rsidR="002A2391" w:rsidRPr="003B16F1">
        <w:rPr>
          <w:rFonts w:ascii="Arial" w:hAnsi="Arial"/>
          <w:sz w:val="22"/>
          <w:szCs w:val="22"/>
        </w:rPr>
        <w:t>oitures</w:t>
      </w:r>
      <w:r w:rsidRPr="003B16F1">
        <w:rPr>
          <w:rFonts w:ascii="Arial" w:hAnsi="Arial"/>
          <w:sz w:val="22"/>
          <w:szCs w:val="22"/>
        </w:rPr>
        <w:t xml:space="preserve"> et autres </w:t>
      </w:r>
      <w:r w:rsidR="002A2391" w:rsidRPr="003B16F1">
        <w:rPr>
          <w:rFonts w:ascii="Arial" w:hAnsi="Arial"/>
          <w:sz w:val="22"/>
          <w:szCs w:val="22"/>
        </w:rPr>
        <w:t xml:space="preserve">applications pour </w:t>
      </w:r>
      <w:r w:rsidRPr="003B16F1">
        <w:rPr>
          <w:rFonts w:ascii="Arial" w:hAnsi="Arial"/>
          <w:sz w:val="22"/>
          <w:szCs w:val="22"/>
        </w:rPr>
        <w:t>améliorer la capacité de détection</w:t>
      </w:r>
    </w:p>
    <w:p w14:paraId="2717859D" w14:textId="6F30F3EF" w:rsidR="00217E8C" w:rsidRDefault="00217E8C" w:rsidP="00A336CD">
      <w:pPr>
        <w:pStyle w:val="ListParagraph"/>
        <w:numPr>
          <w:ilvl w:val="0"/>
          <w:numId w:val="4"/>
        </w:numPr>
        <w:spacing w:after="0"/>
        <w:ind w:right="-344"/>
        <w:rPr>
          <w:rFonts w:ascii="Arial" w:eastAsia="Arial" w:hAnsi="Arial" w:cs="Arial"/>
          <w:sz w:val="22"/>
          <w:szCs w:val="22"/>
        </w:rPr>
      </w:pPr>
      <w:r>
        <w:rPr>
          <w:rFonts w:ascii="Arial" w:hAnsi="Arial"/>
          <w:sz w:val="22"/>
          <w:szCs w:val="22"/>
        </w:rPr>
        <w:t xml:space="preserve">Les batteries </w:t>
      </w:r>
      <w:r w:rsidR="00267C1F">
        <w:rPr>
          <w:rFonts w:ascii="Arial" w:hAnsi="Arial"/>
          <w:sz w:val="22"/>
          <w:szCs w:val="22"/>
        </w:rPr>
        <w:t>L</w:t>
      </w:r>
      <w:r>
        <w:rPr>
          <w:rFonts w:ascii="Arial" w:hAnsi="Arial"/>
          <w:sz w:val="22"/>
          <w:szCs w:val="22"/>
        </w:rPr>
        <w:t>ithium-</w:t>
      </w:r>
      <w:r w:rsidR="00267C1F">
        <w:rPr>
          <w:rFonts w:ascii="Arial" w:hAnsi="Arial"/>
          <w:sz w:val="22"/>
          <w:szCs w:val="22"/>
        </w:rPr>
        <w:t>S</w:t>
      </w:r>
      <w:r>
        <w:rPr>
          <w:rFonts w:ascii="Arial" w:hAnsi="Arial"/>
          <w:sz w:val="22"/>
          <w:szCs w:val="22"/>
        </w:rPr>
        <w:t xml:space="preserve">oufre </w:t>
      </w:r>
      <w:r w:rsidR="002A2391">
        <w:rPr>
          <w:rFonts w:ascii="Arial" w:hAnsi="Arial"/>
          <w:sz w:val="22"/>
          <w:szCs w:val="22"/>
        </w:rPr>
        <w:t>ont</w:t>
      </w:r>
      <w:r>
        <w:rPr>
          <w:rFonts w:ascii="Arial" w:hAnsi="Arial"/>
          <w:sz w:val="22"/>
          <w:szCs w:val="22"/>
        </w:rPr>
        <w:t xml:space="preserve"> une densité énergétique doubl</w:t>
      </w:r>
      <w:r w:rsidR="002A2391">
        <w:rPr>
          <w:rFonts w:ascii="Arial" w:hAnsi="Arial"/>
          <w:sz w:val="22"/>
          <w:szCs w:val="22"/>
        </w:rPr>
        <w:t>ée</w:t>
      </w:r>
      <w:r>
        <w:rPr>
          <w:rFonts w:ascii="Arial" w:hAnsi="Arial"/>
          <w:sz w:val="22"/>
          <w:szCs w:val="22"/>
        </w:rPr>
        <w:t xml:space="preserve"> par rapport à la chimie </w:t>
      </w:r>
      <w:r w:rsidR="00267C1F">
        <w:rPr>
          <w:rFonts w:ascii="Arial" w:hAnsi="Arial"/>
          <w:sz w:val="22"/>
          <w:szCs w:val="22"/>
        </w:rPr>
        <w:t>Lithium-Ion</w:t>
      </w:r>
      <w:r>
        <w:rPr>
          <w:rFonts w:ascii="Arial" w:hAnsi="Arial"/>
          <w:sz w:val="22"/>
          <w:szCs w:val="22"/>
        </w:rPr>
        <w:t xml:space="preserve"> et constituent une</w:t>
      </w:r>
      <w:r w:rsidR="002A2391">
        <w:rPr>
          <w:rFonts w:ascii="Arial" w:hAnsi="Arial"/>
          <w:sz w:val="22"/>
          <w:szCs w:val="22"/>
        </w:rPr>
        <w:t xml:space="preserve"> des </w:t>
      </w:r>
      <w:r>
        <w:rPr>
          <w:rFonts w:ascii="Arial" w:hAnsi="Arial"/>
          <w:sz w:val="22"/>
          <w:szCs w:val="22"/>
        </w:rPr>
        <w:t>solution</w:t>
      </w:r>
      <w:r w:rsidR="002A2391">
        <w:rPr>
          <w:rFonts w:ascii="Arial" w:hAnsi="Arial"/>
          <w:sz w:val="22"/>
          <w:szCs w:val="22"/>
        </w:rPr>
        <w:t xml:space="preserve">s possibles pour une </w:t>
      </w:r>
      <w:r>
        <w:rPr>
          <w:rFonts w:ascii="Arial" w:hAnsi="Arial"/>
          <w:sz w:val="22"/>
          <w:szCs w:val="22"/>
        </w:rPr>
        <w:t>cathode sans nickel-manganèse-cobalt</w:t>
      </w:r>
    </w:p>
    <w:p w14:paraId="7C92D784" w14:textId="78357B41" w:rsidR="004272EE" w:rsidRPr="00A336CD" w:rsidRDefault="004272EE" w:rsidP="00EB1B58">
      <w:pPr>
        <w:pStyle w:val="ListParagraph"/>
        <w:numPr>
          <w:ilvl w:val="0"/>
          <w:numId w:val="4"/>
        </w:numPr>
        <w:spacing w:after="0"/>
        <w:ind w:right="-344"/>
        <w:rPr>
          <w:rFonts w:ascii="Arial" w:eastAsia="Arial" w:hAnsi="Arial" w:cs="Arial"/>
          <w:sz w:val="22"/>
          <w:szCs w:val="22"/>
        </w:rPr>
      </w:pPr>
      <w:r>
        <w:rPr>
          <w:rFonts w:ascii="Arial" w:hAnsi="Arial"/>
          <w:sz w:val="22"/>
          <w:szCs w:val="22"/>
        </w:rPr>
        <w:t xml:space="preserve">Stellantis explore toutes les technologies de batterie pour répondre aux besoins variés de sa </w:t>
      </w:r>
      <w:r w:rsidR="002A2391">
        <w:rPr>
          <w:rFonts w:ascii="Arial" w:hAnsi="Arial"/>
          <w:sz w:val="22"/>
          <w:szCs w:val="22"/>
        </w:rPr>
        <w:t>large</w:t>
      </w:r>
      <w:r>
        <w:rPr>
          <w:rFonts w:ascii="Arial" w:hAnsi="Arial"/>
          <w:sz w:val="22"/>
          <w:szCs w:val="22"/>
        </w:rPr>
        <w:t xml:space="preserve"> clientèle et assurer une mobilité propre, sûre et abordable</w:t>
      </w:r>
    </w:p>
    <w:p w14:paraId="3C06AD10" w14:textId="74EAE58A" w:rsidR="00DA44D2" w:rsidRPr="00E241A7" w:rsidRDefault="00DA44D2" w:rsidP="00A336CD">
      <w:pPr>
        <w:spacing w:after="0"/>
        <w:ind w:left="360" w:right="-344"/>
        <w:rPr>
          <w:rFonts w:ascii="Arial" w:eastAsia="Arial" w:hAnsi="Arial" w:cs="Arial"/>
        </w:rPr>
      </w:pPr>
    </w:p>
    <w:p w14:paraId="1A117F65" w14:textId="72F3F03E" w:rsidR="00881461" w:rsidRDefault="00DF3488" w:rsidP="00EB1B58">
      <w:pPr>
        <w:pBdr>
          <w:top w:val="nil"/>
          <w:left w:val="nil"/>
          <w:bottom w:val="nil"/>
          <w:right w:val="nil"/>
          <w:between w:val="nil"/>
        </w:pBdr>
        <w:ind w:right="-344"/>
        <w:rPr>
          <w:rFonts w:ascii="Arial" w:hAnsi="Arial"/>
          <w:sz w:val="22"/>
          <w:szCs w:val="22"/>
          <w:shd w:val="clear" w:color="auto" w:fill="FFFFFF"/>
        </w:rPr>
      </w:pPr>
      <w:r>
        <w:rPr>
          <w:rFonts w:ascii="Arial" w:hAnsi="Arial"/>
          <w:b/>
          <w:color w:val="000000"/>
          <w:sz w:val="22"/>
          <w:szCs w:val="22"/>
        </w:rPr>
        <w:t>Le 2</w:t>
      </w:r>
      <w:r w:rsidR="003158BE">
        <w:rPr>
          <w:rFonts w:ascii="Arial" w:hAnsi="Arial"/>
          <w:b/>
          <w:color w:val="000000"/>
          <w:sz w:val="22"/>
          <w:szCs w:val="22"/>
        </w:rPr>
        <w:t>5</w:t>
      </w:r>
      <w:r>
        <w:rPr>
          <w:rFonts w:ascii="Arial" w:hAnsi="Arial"/>
          <w:b/>
          <w:color w:val="000000"/>
          <w:sz w:val="22"/>
          <w:szCs w:val="22"/>
        </w:rPr>
        <w:t xml:space="preserve"> mai 2023, AMSTERDAM, S</w:t>
      </w:r>
      <w:r w:rsidR="003158BE">
        <w:rPr>
          <w:rFonts w:ascii="Arial" w:hAnsi="Arial"/>
          <w:b/>
          <w:color w:val="000000"/>
          <w:sz w:val="22"/>
          <w:szCs w:val="22"/>
        </w:rPr>
        <w:t>AN JOS</w:t>
      </w:r>
      <w:r w:rsidR="008275B9" w:rsidRPr="00A336CD">
        <w:rPr>
          <w:rFonts w:ascii="Arial" w:hAnsi="Arial"/>
          <w:b/>
          <w:color w:val="000000"/>
          <w:sz w:val="22"/>
          <w:szCs w:val="22"/>
        </w:rPr>
        <w:t>É</w:t>
      </w:r>
      <w:r>
        <w:rPr>
          <w:rFonts w:ascii="Arial" w:hAnsi="Arial"/>
          <w:b/>
          <w:color w:val="000000"/>
          <w:sz w:val="22"/>
          <w:szCs w:val="22"/>
        </w:rPr>
        <w:t>, Californie</w:t>
      </w:r>
      <w:r>
        <w:rPr>
          <w:rFonts w:ascii="Arial" w:hAnsi="Arial"/>
          <w:color w:val="000000"/>
          <w:sz w:val="22"/>
          <w:szCs w:val="22"/>
        </w:rPr>
        <w:t xml:space="preserve"> –</w:t>
      </w:r>
      <w:r>
        <w:rPr>
          <w:rFonts w:ascii="Arial" w:hAnsi="Arial"/>
          <w:sz w:val="22"/>
          <w:szCs w:val="22"/>
          <w:shd w:val="clear" w:color="auto" w:fill="FFFFFF"/>
        </w:rPr>
        <w:t xml:space="preserve"> </w:t>
      </w:r>
      <w:hyperlink r:id="rId12" w:history="1">
        <w:r w:rsidRPr="00A336CD">
          <w:rPr>
            <w:rStyle w:val="Hyperlink"/>
            <w:rFonts w:ascii="Arial" w:hAnsi="Arial"/>
            <w:sz w:val="22"/>
            <w:szCs w:val="22"/>
            <w:shd w:val="clear" w:color="auto" w:fill="FFFFFF"/>
          </w:rPr>
          <w:t>Stellantis N.V.</w:t>
        </w:r>
      </w:hyperlink>
      <w:r>
        <w:rPr>
          <w:rFonts w:ascii="Arial" w:hAnsi="Arial"/>
          <w:sz w:val="22"/>
          <w:szCs w:val="22"/>
          <w:shd w:val="clear" w:color="auto" w:fill="FFFFFF"/>
        </w:rPr>
        <w:t xml:space="preserve"> et </w:t>
      </w:r>
      <w:hyperlink r:id="rId13" w:history="1">
        <w:r w:rsidRPr="00A336CD">
          <w:rPr>
            <w:rStyle w:val="Hyperlink"/>
            <w:rFonts w:ascii="Arial" w:hAnsi="Arial"/>
            <w:sz w:val="22"/>
            <w:szCs w:val="22"/>
            <w:shd w:val="clear" w:color="auto" w:fill="FFFFFF"/>
          </w:rPr>
          <w:t>Lyten, Inc.</w:t>
        </w:r>
      </w:hyperlink>
      <w:r>
        <w:rPr>
          <w:rFonts w:ascii="Arial" w:hAnsi="Arial"/>
          <w:sz w:val="22"/>
          <w:szCs w:val="22"/>
          <w:shd w:val="clear" w:color="auto" w:fill="FFFFFF"/>
        </w:rPr>
        <w:t xml:space="preserve"> ont annoncé que Stellantis Ventures, le fonds de capital-risque de Stellantis, a</w:t>
      </w:r>
      <w:r w:rsidR="00264B42">
        <w:rPr>
          <w:rFonts w:ascii="Arial" w:hAnsi="Arial"/>
          <w:sz w:val="22"/>
          <w:szCs w:val="22"/>
          <w:shd w:val="clear" w:color="auto" w:fill="FFFFFF"/>
        </w:rPr>
        <w:t xml:space="preserve"> choisi d’</w:t>
      </w:r>
      <w:r>
        <w:rPr>
          <w:rFonts w:ascii="Arial" w:hAnsi="Arial"/>
          <w:sz w:val="22"/>
          <w:szCs w:val="22"/>
          <w:shd w:val="clear" w:color="auto" w:fill="FFFFFF"/>
        </w:rPr>
        <w:t>investi</w:t>
      </w:r>
      <w:r w:rsidR="00264B42">
        <w:rPr>
          <w:rFonts w:ascii="Arial" w:hAnsi="Arial"/>
          <w:sz w:val="22"/>
          <w:szCs w:val="22"/>
          <w:shd w:val="clear" w:color="auto" w:fill="FFFFFF"/>
        </w:rPr>
        <w:t>r</w:t>
      </w:r>
      <w:r>
        <w:rPr>
          <w:rFonts w:ascii="Arial" w:hAnsi="Arial"/>
          <w:sz w:val="22"/>
          <w:szCs w:val="22"/>
          <w:shd w:val="clear" w:color="auto" w:fill="FFFFFF"/>
        </w:rPr>
        <w:t xml:space="preserve"> dans </w:t>
      </w:r>
      <w:r w:rsidR="00264B42">
        <w:rPr>
          <w:rFonts w:ascii="Arial" w:hAnsi="Arial"/>
          <w:sz w:val="22"/>
          <w:szCs w:val="22"/>
          <w:shd w:val="clear" w:color="auto" w:fill="FFFFFF"/>
        </w:rPr>
        <w:t xml:space="preserve">la société </w:t>
      </w:r>
      <w:r>
        <w:rPr>
          <w:rFonts w:ascii="Arial" w:hAnsi="Arial"/>
          <w:sz w:val="22"/>
          <w:szCs w:val="22"/>
          <w:shd w:val="clear" w:color="auto" w:fill="FFFFFF"/>
        </w:rPr>
        <w:t>Lyten</w:t>
      </w:r>
      <w:r w:rsidR="00264B42">
        <w:rPr>
          <w:rFonts w:ascii="Arial" w:hAnsi="Arial"/>
          <w:sz w:val="22"/>
          <w:szCs w:val="22"/>
          <w:shd w:val="clear" w:color="auto" w:fill="FFFFFF"/>
        </w:rPr>
        <w:t>. Cette décision va permettre d’</w:t>
      </w:r>
      <w:r>
        <w:rPr>
          <w:rFonts w:ascii="Arial" w:hAnsi="Arial"/>
          <w:sz w:val="22"/>
          <w:szCs w:val="22"/>
          <w:shd w:val="clear" w:color="auto" w:fill="FFFFFF"/>
        </w:rPr>
        <w:t xml:space="preserve">accélérer la commercialisation du Lyten 3D Graphene™ </w:t>
      </w:r>
      <w:r w:rsidR="00264B42">
        <w:rPr>
          <w:rFonts w:ascii="Arial" w:hAnsi="Arial"/>
          <w:sz w:val="22"/>
          <w:szCs w:val="22"/>
          <w:shd w:val="clear" w:color="auto" w:fill="FFFFFF"/>
        </w:rPr>
        <w:t xml:space="preserve">au sein du </w:t>
      </w:r>
      <w:r>
        <w:rPr>
          <w:rFonts w:ascii="Arial" w:hAnsi="Arial"/>
          <w:sz w:val="22"/>
          <w:szCs w:val="22"/>
          <w:shd w:val="clear" w:color="auto" w:fill="FFFFFF"/>
        </w:rPr>
        <w:t>secteur de</w:t>
      </w:r>
      <w:r w:rsidR="00264B42">
        <w:rPr>
          <w:rFonts w:ascii="Arial" w:hAnsi="Arial"/>
          <w:sz w:val="22"/>
          <w:szCs w:val="22"/>
          <w:shd w:val="clear" w:color="auto" w:fill="FFFFFF"/>
        </w:rPr>
        <w:t>s transports</w:t>
      </w:r>
      <w:r>
        <w:rPr>
          <w:rFonts w:ascii="Arial" w:hAnsi="Arial"/>
          <w:sz w:val="22"/>
          <w:szCs w:val="22"/>
          <w:shd w:val="clear" w:color="auto" w:fill="FFFFFF"/>
        </w:rPr>
        <w:t xml:space="preserve">, notamment </w:t>
      </w:r>
      <w:r w:rsidR="00264B42">
        <w:rPr>
          <w:rFonts w:ascii="Arial" w:hAnsi="Arial"/>
          <w:sz w:val="22"/>
          <w:szCs w:val="22"/>
          <w:shd w:val="clear" w:color="auto" w:fill="FFFFFF"/>
        </w:rPr>
        <w:t xml:space="preserve">dans les </w:t>
      </w:r>
      <w:r>
        <w:rPr>
          <w:rFonts w:ascii="Arial" w:hAnsi="Arial"/>
          <w:sz w:val="22"/>
          <w:szCs w:val="22"/>
          <w:shd w:val="clear" w:color="auto" w:fill="FFFFFF"/>
        </w:rPr>
        <w:t>batterie</w:t>
      </w:r>
      <w:r w:rsidR="00264B42">
        <w:rPr>
          <w:rFonts w:ascii="Arial" w:hAnsi="Arial"/>
          <w:sz w:val="22"/>
          <w:szCs w:val="22"/>
          <w:shd w:val="clear" w:color="auto" w:fill="FFFFFF"/>
        </w:rPr>
        <w:t>s</w:t>
      </w:r>
      <w:r w:rsidR="00267C1F">
        <w:rPr>
          <w:rFonts w:ascii="Arial" w:hAnsi="Arial"/>
          <w:sz w:val="22"/>
          <w:szCs w:val="22"/>
          <w:shd w:val="clear" w:color="auto" w:fill="FFFFFF"/>
        </w:rPr>
        <w:t xml:space="preserve"> L</w:t>
      </w:r>
      <w:r w:rsidR="00264B42">
        <w:rPr>
          <w:rFonts w:ascii="Arial" w:hAnsi="Arial"/>
          <w:sz w:val="22"/>
          <w:szCs w:val="22"/>
          <w:shd w:val="clear" w:color="auto" w:fill="FFFFFF"/>
        </w:rPr>
        <w:t>ithium-</w:t>
      </w:r>
      <w:r w:rsidR="00267C1F">
        <w:rPr>
          <w:rFonts w:ascii="Arial" w:hAnsi="Arial"/>
          <w:sz w:val="22"/>
          <w:szCs w:val="22"/>
          <w:shd w:val="clear" w:color="auto" w:fill="FFFFFF"/>
        </w:rPr>
        <w:t>S</w:t>
      </w:r>
      <w:r w:rsidR="00264B42">
        <w:rPr>
          <w:rFonts w:ascii="Arial" w:hAnsi="Arial"/>
          <w:sz w:val="22"/>
          <w:szCs w:val="22"/>
          <w:shd w:val="clear" w:color="auto" w:fill="FFFFFF"/>
        </w:rPr>
        <w:t>oufre (Li-S) LytCell™</w:t>
      </w:r>
      <w:r>
        <w:rPr>
          <w:rFonts w:ascii="Arial" w:hAnsi="Arial"/>
          <w:sz w:val="22"/>
          <w:szCs w:val="22"/>
          <w:shd w:val="clear" w:color="auto" w:fill="FFFFFF"/>
        </w:rPr>
        <w:t xml:space="preserve"> </w:t>
      </w:r>
      <w:r w:rsidR="003158BE">
        <w:rPr>
          <w:rFonts w:ascii="Arial" w:hAnsi="Arial"/>
          <w:sz w:val="22"/>
          <w:szCs w:val="22"/>
          <w:shd w:val="clear" w:color="auto" w:fill="FFFFFF"/>
        </w:rPr>
        <w:t xml:space="preserve">pour véhicules </w:t>
      </w:r>
      <w:r w:rsidR="00166720">
        <w:rPr>
          <w:rFonts w:ascii="Arial" w:hAnsi="Arial"/>
          <w:sz w:val="22"/>
          <w:szCs w:val="22"/>
          <w:shd w:val="clear" w:color="auto" w:fill="FFFFFF"/>
        </w:rPr>
        <w:t>électriques</w:t>
      </w:r>
      <w:r>
        <w:rPr>
          <w:rFonts w:ascii="Arial" w:hAnsi="Arial"/>
          <w:sz w:val="22"/>
          <w:szCs w:val="22"/>
          <w:shd w:val="clear" w:color="auto" w:fill="FFFFFF"/>
        </w:rPr>
        <w:t xml:space="preserve">, </w:t>
      </w:r>
      <w:r w:rsidR="00264B42">
        <w:rPr>
          <w:rFonts w:ascii="Arial" w:hAnsi="Arial"/>
          <w:sz w:val="22"/>
          <w:szCs w:val="22"/>
          <w:shd w:val="clear" w:color="auto" w:fill="FFFFFF"/>
        </w:rPr>
        <w:t>les</w:t>
      </w:r>
      <w:r>
        <w:rPr>
          <w:rFonts w:ascii="Arial" w:hAnsi="Arial"/>
          <w:sz w:val="22"/>
          <w:szCs w:val="22"/>
          <w:shd w:val="clear" w:color="auto" w:fill="FFFFFF"/>
        </w:rPr>
        <w:t xml:space="preserve"> matériaux composites légers et </w:t>
      </w:r>
      <w:r w:rsidR="00264B42">
        <w:rPr>
          <w:rFonts w:ascii="Arial" w:hAnsi="Arial"/>
          <w:sz w:val="22"/>
          <w:szCs w:val="22"/>
          <w:shd w:val="clear" w:color="auto" w:fill="FFFFFF"/>
        </w:rPr>
        <w:t>les</w:t>
      </w:r>
      <w:r>
        <w:rPr>
          <w:rFonts w:ascii="Arial" w:hAnsi="Arial"/>
          <w:sz w:val="22"/>
          <w:szCs w:val="22"/>
          <w:shd w:val="clear" w:color="auto" w:fill="FFFFFF"/>
        </w:rPr>
        <w:t xml:space="preserve"> capteurs embarqués </w:t>
      </w:r>
      <w:r w:rsidR="005B1974">
        <w:rPr>
          <w:rFonts w:ascii="Arial" w:hAnsi="Arial"/>
          <w:sz w:val="22"/>
          <w:szCs w:val="22"/>
          <w:shd w:val="clear" w:color="auto" w:fill="FFFFFF"/>
        </w:rPr>
        <w:t xml:space="preserve">à haute </w:t>
      </w:r>
      <w:r>
        <w:rPr>
          <w:rFonts w:ascii="Arial" w:hAnsi="Arial"/>
          <w:sz w:val="22"/>
          <w:szCs w:val="22"/>
          <w:shd w:val="clear" w:color="auto" w:fill="FFFFFF"/>
        </w:rPr>
        <w:t xml:space="preserve">sensibilité. Figurant parmi les pionniers du graphène en trois dimensions (3D), Lyten compte exploiter </w:t>
      </w:r>
      <w:r w:rsidRPr="005B2FE4">
        <w:rPr>
          <w:rFonts w:ascii="Arial" w:hAnsi="Arial"/>
          <w:sz w:val="22"/>
          <w:szCs w:val="22"/>
          <w:shd w:val="clear" w:color="auto" w:fill="FFFFFF"/>
        </w:rPr>
        <w:t>l’</w:t>
      </w:r>
      <w:r w:rsidR="00E60D81" w:rsidRPr="005B2FE4">
        <w:rPr>
          <w:rFonts w:ascii="Arial" w:hAnsi="Arial"/>
          <w:sz w:val="22"/>
          <w:szCs w:val="22"/>
          <w:shd w:val="clear" w:color="auto" w:fill="FFFFFF"/>
        </w:rPr>
        <w:t>a</w:t>
      </w:r>
      <w:r w:rsidR="00E60D81" w:rsidRPr="00A336CD">
        <w:rPr>
          <w:rFonts w:ascii="Arial" w:hAnsi="Arial"/>
          <w:sz w:val="22"/>
          <w:szCs w:val="22"/>
          <w:shd w:val="clear" w:color="auto" w:fill="FFFFFF"/>
        </w:rPr>
        <w:t>daptabilité</w:t>
      </w:r>
      <w:r w:rsidRPr="005B2FE4">
        <w:rPr>
          <w:rFonts w:ascii="Arial" w:hAnsi="Arial"/>
          <w:sz w:val="22"/>
          <w:szCs w:val="22"/>
          <w:shd w:val="clear" w:color="auto" w:fill="FFFFFF"/>
        </w:rPr>
        <w:t xml:space="preserve"> unique</w:t>
      </w:r>
      <w:r>
        <w:rPr>
          <w:rFonts w:ascii="Arial" w:hAnsi="Arial"/>
          <w:sz w:val="22"/>
          <w:szCs w:val="22"/>
          <w:shd w:val="clear" w:color="auto" w:fill="FFFFFF"/>
        </w:rPr>
        <w:t xml:space="preserve"> de ce matériau pour améliorer les performances des véhicules et l’expérience client, tout en décarbonant le secteur des transports. </w:t>
      </w:r>
    </w:p>
    <w:p w14:paraId="061B82DB" w14:textId="54DFDA3A" w:rsidR="004272EE" w:rsidRDefault="00881461" w:rsidP="00EB1B58">
      <w:pPr>
        <w:pBdr>
          <w:top w:val="nil"/>
          <w:left w:val="nil"/>
          <w:bottom w:val="nil"/>
          <w:right w:val="nil"/>
          <w:between w:val="nil"/>
        </w:pBdr>
        <w:ind w:right="-344"/>
        <w:rPr>
          <w:rFonts w:ascii="Arial" w:hAnsi="Arial"/>
          <w:sz w:val="22"/>
          <w:szCs w:val="22"/>
          <w:shd w:val="clear" w:color="auto" w:fill="FFFFFF"/>
        </w:rPr>
      </w:pPr>
      <w:r>
        <w:rPr>
          <w:rFonts w:ascii="Arial" w:hAnsi="Arial"/>
          <w:sz w:val="22"/>
          <w:szCs w:val="22"/>
          <w:shd w:val="clear" w:color="auto" w:fill="FFFFFF"/>
        </w:rPr>
        <w:t>L</w:t>
      </w:r>
      <w:r w:rsidR="006534DA">
        <w:rPr>
          <w:rFonts w:ascii="Arial" w:hAnsi="Arial"/>
          <w:sz w:val="22"/>
          <w:szCs w:val="22"/>
          <w:shd w:val="clear" w:color="auto" w:fill="FFFFFF"/>
        </w:rPr>
        <w:t xml:space="preserve">’offre </w:t>
      </w:r>
      <w:r>
        <w:rPr>
          <w:rFonts w:ascii="Arial" w:hAnsi="Arial"/>
          <w:sz w:val="22"/>
          <w:szCs w:val="22"/>
          <w:shd w:val="clear" w:color="auto" w:fill="FFFFFF"/>
        </w:rPr>
        <w:t xml:space="preserve">de matériaux </w:t>
      </w:r>
      <w:r w:rsidR="005B2FE4">
        <w:rPr>
          <w:rFonts w:ascii="Arial" w:hAnsi="Arial"/>
          <w:sz w:val="22"/>
          <w:szCs w:val="22"/>
          <w:shd w:val="clear" w:color="auto" w:fill="FFFFFF"/>
        </w:rPr>
        <w:t xml:space="preserve">ajustables </w:t>
      </w:r>
      <w:r>
        <w:rPr>
          <w:rFonts w:ascii="Arial" w:hAnsi="Arial"/>
          <w:sz w:val="22"/>
          <w:szCs w:val="22"/>
          <w:shd w:val="clear" w:color="auto" w:fill="FFFFFF"/>
        </w:rPr>
        <w:t>de Lyten p</w:t>
      </w:r>
      <w:r w:rsidR="00264B42">
        <w:rPr>
          <w:rFonts w:ascii="Arial" w:hAnsi="Arial"/>
          <w:sz w:val="22"/>
          <w:szCs w:val="22"/>
          <w:shd w:val="clear" w:color="auto" w:fill="FFFFFF"/>
        </w:rPr>
        <w:t xml:space="preserve">ourrait </w:t>
      </w:r>
      <w:r>
        <w:rPr>
          <w:rFonts w:ascii="Arial" w:hAnsi="Arial"/>
          <w:sz w:val="22"/>
          <w:szCs w:val="22"/>
          <w:shd w:val="clear" w:color="auto" w:fill="FFFFFF"/>
        </w:rPr>
        <w:t xml:space="preserve">réduire </w:t>
      </w:r>
      <w:r w:rsidR="003158BE">
        <w:rPr>
          <w:rFonts w:ascii="Arial" w:hAnsi="Arial"/>
          <w:sz w:val="22"/>
          <w:szCs w:val="22"/>
          <w:shd w:val="clear" w:color="auto" w:fill="FFFFFF"/>
        </w:rPr>
        <w:t xml:space="preserve">considérablement </w:t>
      </w:r>
      <w:r>
        <w:rPr>
          <w:rFonts w:ascii="Arial" w:hAnsi="Arial"/>
          <w:sz w:val="22"/>
          <w:szCs w:val="22"/>
          <w:shd w:val="clear" w:color="auto" w:fill="FFFFFF"/>
        </w:rPr>
        <w:t xml:space="preserve">les émissions de gaz à effet de serre et </w:t>
      </w:r>
      <w:r w:rsidR="003158BE">
        <w:rPr>
          <w:rFonts w:ascii="Arial" w:hAnsi="Arial"/>
          <w:sz w:val="22"/>
          <w:szCs w:val="22"/>
          <w:shd w:val="clear" w:color="auto" w:fill="FFFFFF"/>
        </w:rPr>
        <w:t>favorisera</w:t>
      </w:r>
      <w:r>
        <w:rPr>
          <w:rFonts w:ascii="Arial" w:hAnsi="Arial"/>
          <w:sz w:val="22"/>
          <w:szCs w:val="22"/>
          <w:shd w:val="clear" w:color="auto" w:fill="FFFFFF"/>
        </w:rPr>
        <w:t xml:space="preserve"> la transition vers </w:t>
      </w:r>
      <w:r w:rsidR="003158BE">
        <w:rPr>
          <w:rFonts w:ascii="Arial" w:hAnsi="Arial"/>
          <w:sz w:val="22"/>
          <w:szCs w:val="22"/>
          <w:shd w:val="clear" w:color="auto" w:fill="FFFFFF"/>
        </w:rPr>
        <w:t xml:space="preserve">une </w:t>
      </w:r>
      <w:r>
        <w:rPr>
          <w:rFonts w:ascii="Arial" w:hAnsi="Arial"/>
          <w:sz w:val="22"/>
          <w:szCs w:val="22"/>
          <w:shd w:val="clear" w:color="auto" w:fill="FFFFFF"/>
        </w:rPr>
        <w:t>mobilité durable.</w:t>
      </w:r>
    </w:p>
    <w:p w14:paraId="66F443D9" w14:textId="774105D7" w:rsidR="004272EE" w:rsidRDefault="004272EE" w:rsidP="00EB1B58">
      <w:pPr>
        <w:pBdr>
          <w:top w:val="nil"/>
          <w:left w:val="nil"/>
          <w:bottom w:val="nil"/>
          <w:right w:val="nil"/>
          <w:between w:val="nil"/>
        </w:pBdr>
        <w:ind w:right="-344"/>
        <w:rPr>
          <w:rFonts w:ascii="Arial" w:hAnsi="Arial"/>
          <w:sz w:val="22"/>
          <w:szCs w:val="22"/>
          <w:shd w:val="clear" w:color="auto" w:fill="FFFFFF"/>
        </w:rPr>
      </w:pPr>
      <w:r>
        <w:rPr>
          <w:rFonts w:ascii="Arial" w:hAnsi="Arial"/>
          <w:sz w:val="22"/>
          <w:szCs w:val="22"/>
          <w:shd w:val="clear" w:color="auto" w:fill="FFFFFF"/>
        </w:rPr>
        <w:t xml:space="preserve">Contrairement aux batteries </w:t>
      </w:r>
      <w:r w:rsidR="00267C1F">
        <w:rPr>
          <w:rFonts w:ascii="Arial" w:hAnsi="Arial"/>
          <w:sz w:val="22"/>
          <w:szCs w:val="22"/>
          <w:shd w:val="clear" w:color="auto" w:fill="FFFFFF"/>
        </w:rPr>
        <w:t>Lithium-Ion</w:t>
      </w:r>
      <w:r>
        <w:rPr>
          <w:rFonts w:ascii="Arial" w:hAnsi="Arial"/>
          <w:sz w:val="22"/>
          <w:szCs w:val="22"/>
          <w:shd w:val="clear" w:color="auto" w:fill="FFFFFF"/>
        </w:rPr>
        <w:t xml:space="preserve"> classiques, les batteries </w:t>
      </w:r>
      <w:r w:rsidR="00267C1F">
        <w:rPr>
          <w:rFonts w:ascii="Arial" w:hAnsi="Arial"/>
          <w:sz w:val="22"/>
          <w:szCs w:val="22"/>
          <w:shd w:val="clear" w:color="auto" w:fill="FFFFFF"/>
        </w:rPr>
        <w:t>L</w:t>
      </w:r>
      <w:r>
        <w:rPr>
          <w:rFonts w:ascii="Arial" w:hAnsi="Arial"/>
          <w:sz w:val="22"/>
          <w:szCs w:val="22"/>
          <w:shd w:val="clear" w:color="auto" w:fill="FFFFFF"/>
        </w:rPr>
        <w:t>ithium-</w:t>
      </w:r>
      <w:r w:rsidR="00267C1F">
        <w:rPr>
          <w:rFonts w:ascii="Arial" w:hAnsi="Arial"/>
          <w:sz w:val="22"/>
          <w:szCs w:val="22"/>
          <w:shd w:val="clear" w:color="auto" w:fill="FFFFFF"/>
        </w:rPr>
        <w:t>S</w:t>
      </w:r>
      <w:r>
        <w:rPr>
          <w:rFonts w:ascii="Arial" w:hAnsi="Arial"/>
          <w:sz w:val="22"/>
          <w:szCs w:val="22"/>
          <w:shd w:val="clear" w:color="auto" w:fill="FFFFFF"/>
        </w:rPr>
        <w:t>oufre de Lyten n’utilisent ni nickel, ni cobalt, ni manganèse, ce</w:t>
      </w:r>
      <w:r w:rsidR="00264B42">
        <w:rPr>
          <w:rFonts w:ascii="Arial" w:hAnsi="Arial"/>
          <w:sz w:val="22"/>
          <w:szCs w:val="22"/>
          <w:shd w:val="clear" w:color="auto" w:fill="FFFFFF"/>
        </w:rPr>
        <w:t xml:space="preserve"> </w:t>
      </w:r>
      <w:r>
        <w:rPr>
          <w:rFonts w:ascii="Arial" w:hAnsi="Arial"/>
          <w:sz w:val="22"/>
          <w:szCs w:val="22"/>
          <w:shd w:val="clear" w:color="auto" w:fill="FFFFFF"/>
        </w:rPr>
        <w:t xml:space="preserve">qui </w:t>
      </w:r>
      <w:r w:rsidR="00264B42">
        <w:rPr>
          <w:rFonts w:ascii="Arial" w:hAnsi="Arial"/>
          <w:sz w:val="22"/>
          <w:szCs w:val="22"/>
          <w:shd w:val="clear" w:color="auto" w:fill="FFFFFF"/>
        </w:rPr>
        <w:t>donne</w:t>
      </w:r>
      <w:r>
        <w:rPr>
          <w:rFonts w:ascii="Arial" w:hAnsi="Arial"/>
          <w:sz w:val="22"/>
          <w:szCs w:val="22"/>
          <w:shd w:val="clear" w:color="auto" w:fill="FFFFFF"/>
        </w:rPr>
        <w:t xml:space="preserve"> une empreinte carbone estimée</w:t>
      </w:r>
      <w:r w:rsidR="00064DC7">
        <w:rPr>
          <w:rFonts w:ascii="Arial" w:hAnsi="Arial"/>
          <w:sz w:val="22"/>
          <w:szCs w:val="22"/>
          <w:shd w:val="clear" w:color="auto" w:fill="FFFFFF"/>
        </w:rPr>
        <w:t xml:space="preserve"> à</w:t>
      </w:r>
      <w:r>
        <w:rPr>
          <w:rFonts w:ascii="Arial" w:hAnsi="Arial"/>
          <w:sz w:val="22"/>
          <w:szCs w:val="22"/>
          <w:shd w:val="clear" w:color="auto" w:fill="FFFFFF"/>
        </w:rPr>
        <w:t xml:space="preserve"> plus de 60 % </w:t>
      </w:r>
      <w:r w:rsidR="00064DC7">
        <w:rPr>
          <w:rFonts w:ascii="Arial" w:hAnsi="Arial"/>
          <w:sz w:val="22"/>
          <w:szCs w:val="22"/>
          <w:shd w:val="clear" w:color="auto" w:fill="FFFFFF"/>
        </w:rPr>
        <w:t>inférieure à</w:t>
      </w:r>
      <w:r>
        <w:rPr>
          <w:rFonts w:ascii="Arial" w:hAnsi="Arial"/>
          <w:sz w:val="22"/>
          <w:szCs w:val="22"/>
          <w:shd w:val="clear" w:color="auto" w:fill="FFFFFF"/>
        </w:rPr>
        <w:t xml:space="preserve"> celle des meilleures batteries actuelles. Les matières premières </w:t>
      </w:r>
      <w:r w:rsidRPr="008275B9">
        <w:rPr>
          <w:rFonts w:ascii="Arial" w:hAnsi="Arial"/>
          <w:sz w:val="22"/>
          <w:szCs w:val="22"/>
          <w:shd w:val="clear" w:color="auto" w:fill="FFFFFF"/>
        </w:rPr>
        <w:t xml:space="preserve">utilisées pour les batteries </w:t>
      </w:r>
      <w:r w:rsidR="00267C1F">
        <w:rPr>
          <w:rFonts w:ascii="Arial" w:hAnsi="Arial"/>
          <w:sz w:val="22"/>
          <w:szCs w:val="22"/>
          <w:shd w:val="clear" w:color="auto" w:fill="FFFFFF"/>
        </w:rPr>
        <w:t>Lithium-Soufre</w:t>
      </w:r>
      <w:r w:rsidRPr="008275B9">
        <w:rPr>
          <w:rFonts w:ascii="Arial" w:hAnsi="Arial"/>
          <w:sz w:val="22"/>
          <w:szCs w:val="22"/>
          <w:shd w:val="clear" w:color="auto" w:fill="FFFFFF"/>
        </w:rPr>
        <w:t xml:space="preserve"> présentent aussi l’avantage de pouvoir être </w:t>
      </w:r>
      <w:r w:rsidR="00064DC7" w:rsidRPr="008275B9">
        <w:rPr>
          <w:rFonts w:ascii="Arial" w:hAnsi="Arial"/>
          <w:sz w:val="22"/>
          <w:szCs w:val="22"/>
          <w:shd w:val="clear" w:color="auto" w:fill="FFFFFF"/>
        </w:rPr>
        <w:t xml:space="preserve">obtenues </w:t>
      </w:r>
      <w:r w:rsidRPr="008275B9">
        <w:rPr>
          <w:rFonts w:ascii="Arial" w:hAnsi="Arial"/>
          <w:sz w:val="22"/>
          <w:szCs w:val="22"/>
          <w:shd w:val="clear" w:color="auto" w:fill="FFFFFF"/>
        </w:rPr>
        <w:t xml:space="preserve">et produites localement, en Amérique du Nord et en Europe, satisfaisant ainsi les besoins des industries </w:t>
      </w:r>
      <w:r w:rsidR="00264B42" w:rsidRPr="008275B9">
        <w:rPr>
          <w:rFonts w:ascii="Arial" w:hAnsi="Arial"/>
          <w:sz w:val="22"/>
          <w:szCs w:val="22"/>
          <w:shd w:val="clear" w:color="auto" w:fill="FFFFFF"/>
        </w:rPr>
        <w:t xml:space="preserve">en termes </w:t>
      </w:r>
      <w:r w:rsidRPr="008275B9">
        <w:rPr>
          <w:rFonts w:ascii="Arial" w:hAnsi="Arial"/>
          <w:sz w:val="22"/>
          <w:szCs w:val="22"/>
          <w:shd w:val="clear" w:color="auto" w:fill="FFFFFF"/>
        </w:rPr>
        <w:t xml:space="preserve">de batteries haute densité énergétique légères, </w:t>
      </w:r>
      <w:r w:rsidR="005B2FE4" w:rsidRPr="008275B9">
        <w:rPr>
          <w:rFonts w:ascii="Arial" w:hAnsi="Arial"/>
          <w:sz w:val="22"/>
          <w:szCs w:val="22"/>
          <w:shd w:val="clear" w:color="auto" w:fill="FFFFFF"/>
        </w:rPr>
        <w:t xml:space="preserve">et </w:t>
      </w:r>
      <w:r w:rsidRPr="008275B9">
        <w:rPr>
          <w:rFonts w:ascii="Arial" w:hAnsi="Arial"/>
          <w:sz w:val="22"/>
          <w:szCs w:val="22"/>
          <w:shd w:val="clear" w:color="auto" w:fill="FFFFFF"/>
        </w:rPr>
        <w:t>permett</w:t>
      </w:r>
      <w:r w:rsidR="00264B42" w:rsidRPr="008275B9">
        <w:rPr>
          <w:rFonts w:ascii="Arial" w:hAnsi="Arial"/>
          <w:sz w:val="22"/>
          <w:szCs w:val="22"/>
          <w:shd w:val="clear" w:color="auto" w:fill="FFFFFF"/>
        </w:rPr>
        <w:t>a</w:t>
      </w:r>
      <w:r w:rsidRPr="008275B9">
        <w:rPr>
          <w:rFonts w:ascii="Arial" w:hAnsi="Arial"/>
          <w:sz w:val="22"/>
          <w:szCs w:val="22"/>
          <w:shd w:val="clear" w:color="auto" w:fill="FFFFFF"/>
        </w:rPr>
        <w:t xml:space="preserve">nt </w:t>
      </w:r>
      <w:r w:rsidR="005B2FE4" w:rsidRPr="00A336CD">
        <w:rPr>
          <w:rFonts w:ascii="Arial" w:hAnsi="Arial"/>
          <w:sz w:val="22"/>
          <w:szCs w:val="22"/>
          <w:shd w:val="clear" w:color="auto" w:fill="FFFFFF"/>
        </w:rPr>
        <w:t xml:space="preserve">également à Stellantis </w:t>
      </w:r>
      <w:r w:rsidRPr="008275B9">
        <w:rPr>
          <w:rFonts w:ascii="Arial" w:hAnsi="Arial"/>
          <w:sz w:val="22"/>
          <w:szCs w:val="22"/>
          <w:shd w:val="clear" w:color="auto" w:fill="FFFFFF"/>
        </w:rPr>
        <w:t>de s’affranchir d</w:t>
      </w:r>
      <w:r w:rsidR="00264B42" w:rsidRPr="008275B9">
        <w:rPr>
          <w:rFonts w:ascii="Arial" w:hAnsi="Arial"/>
          <w:sz w:val="22"/>
          <w:szCs w:val="22"/>
          <w:shd w:val="clear" w:color="auto" w:fill="FFFFFF"/>
        </w:rPr>
        <w:t>’éventuelles</w:t>
      </w:r>
      <w:r w:rsidRPr="008275B9">
        <w:rPr>
          <w:rFonts w:ascii="Arial" w:hAnsi="Arial"/>
          <w:sz w:val="22"/>
          <w:szCs w:val="22"/>
          <w:shd w:val="clear" w:color="auto" w:fill="FFFFFF"/>
        </w:rPr>
        <w:t xml:space="preserve"> perturbations de la chaîne d’approvisionnement.</w:t>
      </w:r>
    </w:p>
    <w:p w14:paraId="1DC3E4A9" w14:textId="0DA35AC4" w:rsidR="004272EE" w:rsidRDefault="004272EE" w:rsidP="00EB1B58">
      <w:pPr>
        <w:ind w:right="-403"/>
        <w:rPr>
          <w:rFonts w:ascii="Arial" w:hAnsi="Arial"/>
          <w:sz w:val="22"/>
          <w:szCs w:val="22"/>
          <w:shd w:val="clear" w:color="auto" w:fill="FFFFFF"/>
        </w:rPr>
      </w:pPr>
      <w:r w:rsidRPr="008275B9">
        <w:rPr>
          <w:rFonts w:ascii="Arial" w:hAnsi="Arial"/>
          <w:sz w:val="22"/>
          <w:szCs w:val="22"/>
          <w:shd w:val="clear" w:color="auto" w:fill="FFFFFF"/>
        </w:rPr>
        <w:t>Stellantis Ventures est un fonds de capital-risque lancé par Stellantis en 2022</w:t>
      </w:r>
      <w:r w:rsidR="00264B42" w:rsidRPr="008275B9">
        <w:rPr>
          <w:rFonts w:ascii="Arial" w:hAnsi="Arial"/>
          <w:sz w:val="22"/>
          <w:szCs w:val="22"/>
          <w:shd w:val="clear" w:color="auto" w:fill="FFFFFF"/>
        </w:rPr>
        <w:t>. S</w:t>
      </w:r>
      <w:r w:rsidR="003B49A4" w:rsidRPr="008275B9">
        <w:rPr>
          <w:rFonts w:ascii="Arial" w:hAnsi="Arial"/>
          <w:sz w:val="22"/>
          <w:szCs w:val="22"/>
          <w:shd w:val="clear" w:color="auto" w:fill="FFFFFF"/>
        </w:rPr>
        <w:t xml:space="preserve">a raison d’être consiste à </w:t>
      </w:r>
      <w:r w:rsidRPr="008275B9">
        <w:rPr>
          <w:rFonts w:ascii="Arial" w:hAnsi="Arial"/>
          <w:sz w:val="22"/>
          <w:szCs w:val="22"/>
          <w:shd w:val="clear" w:color="auto" w:fill="FFFFFF"/>
        </w:rPr>
        <w:t>investir dans des start-up</w:t>
      </w:r>
      <w:r w:rsidR="00064DC7" w:rsidRPr="008275B9">
        <w:rPr>
          <w:rFonts w:ascii="Arial" w:hAnsi="Arial"/>
          <w:sz w:val="22"/>
          <w:szCs w:val="22"/>
          <w:shd w:val="clear" w:color="auto" w:fill="FFFFFF"/>
        </w:rPr>
        <w:t>s</w:t>
      </w:r>
      <w:r w:rsidRPr="008275B9">
        <w:rPr>
          <w:rFonts w:ascii="Arial" w:hAnsi="Arial"/>
          <w:sz w:val="22"/>
          <w:szCs w:val="22"/>
          <w:shd w:val="clear" w:color="auto" w:fill="FFFFFF"/>
        </w:rPr>
        <w:t xml:space="preserve">, à différents stades de leur </w:t>
      </w:r>
      <w:r w:rsidR="005B2FE4" w:rsidRPr="008275B9">
        <w:rPr>
          <w:rFonts w:ascii="Arial" w:hAnsi="Arial"/>
          <w:sz w:val="22"/>
          <w:szCs w:val="22"/>
          <w:shd w:val="clear" w:color="auto" w:fill="FFFFFF"/>
        </w:rPr>
        <w:t>maturité</w:t>
      </w:r>
      <w:r w:rsidRPr="008275B9">
        <w:rPr>
          <w:rFonts w:ascii="Arial" w:hAnsi="Arial"/>
          <w:sz w:val="22"/>
          <w:szCs w:val="22"/>
          <w:shd w:val="clear" w:color="auto" w:fill="FFFFFF"/>
        </w:rPr>
        <w:t xml:space="preserve"> développ</w:t>
      </w:r>
      <w:r w:rsidR="00264B42" w:rsidRPr="008275B9">
        <w:rPr>
          <w:rFonts w:ascii="Arial" w:hAnsi="Arial"/>
          <w:sz w:val="22"/>
          <w:szCs w:val="22"/>
          <w:shd w:val="clear" w:color="auto" w:fill="FFFFFF"/>
        </w:rPr>
        <w:t>a</w:t>
      </w:r>
      <w:r w:rsidRPr="008275B9">
        <w:rPr>
          <w:rFonts w:ascii="Arial" w:hAnsi="Arial"/>
          <w:sz w:val="22"/>
          <w:szCs w:val="22"/>
          <w:shd w:val="clear" w:color="auto" w:fill="FFFFFF"/>
        </w:rPr>
        <w:t>nt des technologies susceptibles d’être déployées dans les secteurs automobile et de la mobilité. Stellantis Ventures</w:t>
      </w:r>
      <w:r w:rsidR="003B753E" w:rsidRPr="008275B9">
        <w:rPr>
          <w:rFonts w:ascii="Arial" w:hAnsi="Arial"/>
          <w:sz w:val="22"/>
          <w:szCs w:val="22"/>
          <w:shd w:val="clear" w:color="auto" w:fill="FFFFFF"/>
        </w:rPr>
        <w:t xml:space="preserve">, </w:t>
      </w:r>
      <w:r w:rsidR="005B1974">
        <w:rPr>
          <w:rFonts w:ascii="Arial" w:hAnsi="Arial"/>
          <w:sz w:val="22"/>
          <w:szCs w:val="22"/>
          <w:shd w:val="clear" w:color="auto" w:fill="FFFFFF"/>
        </w:rPr>
        <w:t>d’une taille i</w:t>
      </w:r>
      <w:r w:rsidR="003B753E" w:rsidRPr="008275B9">
        <w:rPr>
          <w:rFonts w:ascii="Arial" w:hAnsi="Arial"/>
          <w:sz w:val="22"/>
          <w:szCs w:val="22"/>
          <w:shd w:val="clear" w:color="auto" w:fill="FFFFFF"/>
        </w:rPr>
        <w:t>nitial</w:t>
      </w:r>
      <w:r w:rsidR="005B1974">
        <w:rPr>
          <w:rFonts w:ascii="Arial" w:hAnsi="Arial"/>
          <w:sz w:val="22"/>
          <w:szCs w:val="22"/>
          <w:shd w:val="clear" w:color="auto" w:fill="FFFFFF"/>
        </w:rPr>
        <w:t>e</w:t>
      </w:r>
      <w:r w:rsidR="003B753E" w:rsidRPr="008275B9">
        <w:rPr>
          <w:rFonts w:ascii="Arial" w:hAnsi="Arial"/>
          <w:sz w:val="22"/>
          <w:szCs w:val="22"/>
          <w:shd w:val="clear" w:color="auto" w:fill="FFFFFF"/>
        </w:rPr>
        <w:t xml:space="preserve"> de 300 millions d’euros, </w:t>
      </w:r>
      <w:r w:rsidRPr="008275B9">
        <w:rPr>
          <w:rFonts w:ascii="Arial" w:hAnsi="Arial"/>
          <w:sz w:val="22"/>
          <w:szCs w:val="22"/>
          <w:shd w:val="clear" w:color="auto" w:fill="FFFFFF"/>
        </w:rPr>
        <w:t xml:space="preserve">est un </w:t>
      </w:r>
      <w:r w:rsidR="005B2FE4" w:rsidRPr="008275B9">
        <w:rPr>
          <w:rFonts w:ascii="Arial" w:hAnsi="Arial"/>
          <w:sz w:val="22"/>
          <w:szCs w:val="22"/>
          <w:shd w:val="clear" w:color="auto" w:fill="FFFFFF"/>
        </w:rPr>
        <w:t xml:space="preserve">levier </w:t>
      </w:r>
      <w:r w:rsidRPr="008275B9">
        <w:rPr>
          <w:rFonts w:ascii="Arial" w:hAnsi="Arial"/>
          <w:sz w:val="22"/>
          <w:szCs w:val="22"/>
          <w:shd w:val="clear" w:color="auto" w:fill="FFFFFF"/>
        </w:rPr>
        <w:t xml:space="preserve">essentiel du Plan Stratégique </w:t>
      </w:r>
      <w:hyperlink r:id="rId14" w:history="1">
        <w:r w:rsidRPr="008275B9">
          <w:rPr>
            <w:rStyle w:val="Hyperlink"/>
            <w:rFonts w:ascii="Arial" w:hAnsi="Arial"/>
            <w:sz w:val="22"/>
            <w:szCs w:val="22"/>
            <w:u w:val="single"/>
            <w:shd w:val="clear" w:color="auto" w:fill="FFFFFF"/>
          </w:rPr>
          <w:t>Dare Forward 2030</w:t>
        </w:r>
      </w:hyperlink>
      <w:r w:rsidRPr="008275B9">
        <w:rPr>
          <w:rFonts w:ascii="Arial" w:hAnsi="Arial"/>
          <w:sz w:val="22"/>
          <w:szCs w:val="22"/>
          <w:shd w:val="clear" w:color="auto" w:fill="FFFFFF"/>
        </w:rPr>
        <w:t> de l’entreprise</w:t>
      </w:r>
      <w:r w:rsidR="003B49A4" w:rsidRPr="008275B9">
        <w:rPr>
          <w:rFonts w:ascii="Arial" w:hAnsi="Arial"/>
          <w:sz w:val="22"/>
          <w:szCs w:val="22"/>
          <w:shd w:val="clear" w:color="auto" w:fill="FFFFFF"/>
        </w:rPr>
        <w:t xml:space="preserve">. Ce plan </w:t>
      </w:r>
      <w:r w:rsidR="00264B42" w:rsidRPr="008275B9">
        <w:rPr>
          <w:rFonts w:ascii="Arial" w:hAnsi="Arial"/>
          <w:sz w:val="22"/>
          <w:szCs w:val="22"/>
          <w:shd w:val="clear" w:color="auto" w:fill="FFFFFF"/>
        </w:rPr>
        <w:t>décrit</w:t>
      </w:r>
      <w:r w:rsidR="003B49A4" w:rsidRPr="008275B9">
        <w:rPr>
          <w:rFonts w:ascii="Arial" w:hAnsi="Arial"/>
          <w:sz w:val="22"/>
          <w:szCs w:val="22"/>
          <w:shd w:val="clear" w:color="auto" w:fill="FFFFFF"/>
        </w:rPr>
        <w:t xml:space="preserve"> en effet</w:t>
      </w:r>
      <w:r w:rsidR="00264B42" w:rsidRPr="008275B9">
        <w:rPr>
          <w:rFonts w:ascii="Arial" w:hAnsi="Arial"/>
          <w:sz w:val="22"/>
          <w:szCs w:val="22"/>
          <w:shd w:val="clear" w:color="auto" w:fill="FFFFFF"/>
        </w:rPr>
        <w:t xml:space="preserve"> l</w:t>
      </w:r>
      <w:r w:rsidRPr="008275B9">
        <w:rPr>
          <w:rFonts w:ascii="Arial" w:hAnsi="Arial"/>
          <w:sz w:val="22"/>
          <w:szCs w:val="22"/>
          <w:shd w:val="clear" w:color="auto" w:fill="FFFFFF"/>
        </w:rPr>
        <w:t xml:space="preserve">es objectifs </w:t>
      </w:r>
      <w:r w:rsidR="00264B42" w:rsidRPr="008275B9">
        <w:rPr>
          <w:rFonts w:ascii="Arial" w:hAnsi="Arial"/>
          <w:sz w:val="22"/>
          <w:szCs w:val="22"/>
          <w:shd w:val="clear" w:color="auto" w:fill="FFFFFF"/>
        </w:rPr>
        <w:t>majeurs de</w:t>
      </w:r>
      <w:r w:rsidRPr="008275B9">
        <w:rPr>
          <w:rFonts w:ascii="Arial" w:hAnsi="Arial"/>
          <w:sz w:val="22"/>
          <w:szCs w:val="22"/>
          <w:shd w:val="clear" w:color="auto" w:fill="FFFFFF"/>
        </w:rPr>
        <w:t xml:space="preserve"> Stellantis, </w:t>
      </w:r>
      <w:r w:rsidR="003B49A4" w:rsidRPr="008275B9">
        <w:rPr>
          <w:rFonts w:ascii="Arial" w:hAnsi="Arial"/>
          <w:sz w:val="22"/>
          <w:szCs w:val="22"/>
          <w:shd w:val="clear" w:color="auto" w:fill="FFFFFF"/>
        </w:rPr>
        <w:t xml:space="preserve">comme celui </w:t>
      </w:r>
      <w:r w:rsidRPr="008275B9">
        <w:rPr>
          <w:rFonts w:ascii="Arial" w:hAnsi="Arial"/>
          <w:sz w:val="22"/>
          <w:szCs w:val="22"/>
          <w:shd w:val="clear" w:color="auto" w:fill="FFFFFF"/>
        </w:rPr>
        <w:t>diviser par deux ses émissions de CO</w:t>
      </w:r>
      <w:r w:rsidRPr="008275B9">
        <w:rPr>
          <w:rFonts w:ascii="Arial" w:hAnsi="Arial"/>
          <w:sz w:val="22"/>
          <w:szCs w:val="22"/>
          <w:shd w:val="clear" w:color="auto" w:fill="FFFFFF"/>
          <w:vertAlign w:val="subscript"/>
        </w:rPr>
        <w:t>2</w:t>
      </w:r>
      <w:r w:rsidRPr="008275B9">
        <w:rPr>
          <w:rFonts w:ascii="Arial" w:hAnsi="Arial"/>
          <w:sz w:val="22"/>
          <w:szCs w:val="22"/>
          <w:shd w:val="clear" w:color="auto" w:fill="FFFFFF"/>
        </w:rPr>
        <w:t xml:space="preserve"> à l’horizon 2030 par rapport à 2021 et atteindre la </w:t>
      </w:r>
      <w:hyperlink r:id="rId15" w:history="1">
        <w:r w:rsidRPr="008275B9">
          <w:rPr>
            <w:rStyle w:val="Hyperlink"/>
            <w:rFonts w:ascii="Arial" w:hAnsi="Arial"/>
            <w:sz w:val="22"/>
            <w:szCs w:val="22"/>
            <w:u w:val="single"/>
            <w:shd w:val="clear" w:color="auto" w:fill="FFFFFF"/>
          </w:rPr>
          <w:t>neutralité carbone d’ici 2038</w:t>
        </w:r>
        <w:r w:rsidRPr="008275B9">
          <w:rPr>
            <w:rStyle w:val="Hyperlink"/>
            <w:rFonts w:ascii="Arial" w:hAnsi="Arial"/>
            <w:sz w:val="22"/>
            <w:szCs w:val="22"/>
            <w:shd w:val="clear" w:color="auto" w:fill="FFFFFF"/>
          </w:rPr>
          <w:t>,</w:t>
        </w:r>
      </w:hyperlink>
      <w:r w:rsidRPr="008275B9">
        <w:rPr>
          <w:rFonts w:ascii="Arial" w:hAnsi="Arial"/>
          <w:sz w:val="22"/>
          <w:szCs w:val="22"/>
          <w:shd w:val="clear" w:color="auto" w:fill="FFFFFF"/>
        </w:rPr>
        <w:t xml:space="preserve"> avec un pourcentage de compensation des émissions restantes à un seul chiffre.</w:t>
      </w:r>
      <w:r>
        <w:rPr>
          <w:rFonts w:ascii="Arial" w:hAnsi="Arial"/>
          <w:sz w:val="22"/>
          <w:szCs w:val="22"/>
          <w:shd w:val="clear" w:color="auto" w:fill="FFFFFF"/>
        </w:rPr>
        <w:t xml:space="preserve"> </w:t>
      </w:r>
    </w:p>
    <w:p w14:paraId="7F27D95E" w14:textId="7B8EDD8D" w:rsidR="004272EE" w:rsidRDefault="004272EE" w:rsidP="00EB1B58">
      <w:pPr>
        <w:rPr>
          <w:rFonts w:ascii="Arial" w:hAnsi="Arial"/>
          <w:sz w:val="22"/>
          <w:szCs w:val="22"/>
          <w:shd w:val="clear" w:color="auto" w:fill="FFFFFF"/>
        </w:rPr>
      </w:pPr>
      <w:r>
        <w:rPr>
          <w:rFonts w:ascii="Arial" w:hAnsi="Arial"/>
          <w:sz w:val="22"/>
          <w:szCs w:val="22"/>
          <w:shd w:val="clear" w:color="auto" w:fill="FFFFFF"/>
        </w:rPr>
        <w:lastRenderedPageBreak/>
        <w:t xml:space="preserve">« Nous sommes heureux que Stellantis Ventures, la branche capital-risque d’un constructeur automobile mondial, </w:t>
      </w:r>
      <w:r w:rsidR="003B49A4">
        <w:rPr>
          <w:rFonts w:ascii="Arial" w:hAnsi="Arial"/>
          <w:sz w:val="22"/>
          <w:szCs w:val="22"/>
          <w:shd w:val="clear" w:color="auto" w:fill="FFFFFF"/>
        </w:rPr>
        <w:t xml:space="preserve">croit </w:t>
      </w:r>
      <w:r>
        <w:rPr>
          <w:rFonts w:ascii="Arial" w:hAnsi="Arial"/>
          <w:sz w:val="22"/>
          <w:szCs w:val="22"/>
          <w:shd w:val="clear" w:color="auto" w:fill="FFFFFF"/>
        </w:rPr>
        <w:t xml:space="preserve">en notre entreprise et nos super-matériaux décarbonants à base de Lyten 3D Graphene™ », a commenté Dan Cook, Président-Directeur Général de Lyten. « De nombreuses innovations produits du secteur automobile </w:t>
      </w:r>
      <w:r w:rsidR="003B49A4">
        <w:rPr>
          <w:rFonts w:ascii="Arial" w:hAnsi="Arial"/>
          <w:sz w:val="22"/>
          <w:szCs w:val="22"/>
          <w:shd w:val="clear" w:color="auto" w:fill="FFFFFF"/>
        </w:rPr>
        <w:t xml:space="preserve">pourraient être </w:t>
      </w:r>
      <w:r>
        <w:rPr>
          <w:rFonts w:ascii="Arial" w:hAnsi="Arial"/>
          <w:sz w:val="22"/>
          <w:szCs w:val="22"/>
          <w:shd w:val="clear" w:color="auto" w:fill="FFFFFF"/>
        </w:rPr>
        <w:t xml:space="preserve">transformées par le Lyten 3D Graphene™, notamment les batteries </w:t>
      </w:r>
      <w:r w:rsidR="00267C1F">
        <w:rPr>
          <w:rFonts w:ascii="Arial" w:hAnsi="Arial"/>
          <w:sz w:val="22"/>
          <w:szCs w:val="22"/>
          <w:shd w:val="clear" w:color="auto" w:fill="FFFFFF"/>
        </w:rPr>
        <w:t>Lithium-Soufre</w:t>
      </w:r>
      <w:r>
        <w:rPr>
          <w:rFonts w:ascii="Arial" w:hAnsi="Arial"/>
          <w:sz w:val="22"/>
          <w:szCs w:val="22"/>
          <w:shd w:val="clear" w:color="auto" w:fill="FFFFFF"/>
        </w:rPr>
        <w:t xml:space="preserve"> qui peuvent fournir une densité énergétique doubl</w:t>
      </w:r>
      <w:r w:rsidR="003B49A4">
        <w:rPr>
          <w:rFonts w:ascii="Arial" w:hAnsi="Arial"/>
          <w:sz w:val="22"/>
          <w:szCs w:val="22"/>
          <w:shd w:val="clear" w:color="auto" w:fill="FFFFFF"/>
        </w:rPr>
        <w:t>ée</w:t>
      </w:r>
      <w:r>
        <w:rPr>
          <w:rFonts w:ascii="Arial" w:hAnsi="Arial"/>
          <w:sz w:val="22"/>
          <w:szCs w:val="22"/>
          <w:shd w:val="clear" w:color="auto" w:fill="FFFFFF"/>
        </w:rPr>
        <w:t xml:space="preserve"> par rapport à </w:t>
      </w:r>
      <w:r w:rsidR="003B49A4">
        <w:rPr>
          <w:rFonts w:ascii="Arial" w:hAnsi="Arial"/>
          <w:sz w:val="22"/>
          <w:szCs w:val="22"/>
          <w:shd w:val="clear" w:color="auto" w:fill="FFFFFF"/>
        </w:rPr>
        <w:t>celles au</w:t>
      </w:r>
      <w:r>
        <w:rPr>
          <w:rFonts w:ascii="Arial" w:hAnsi="Arial"/>
          <w:sz w:val="22"/>
          <w:szCs w:val="22"/>
          <w:shd w:val="clear" w:color="auto" w:fill="FFFFFF"/>
        </w:rPr>
        <w:t xml:space="preserve"> </w:t>
      </w:r>
      <w:r w:rsidR="00267C1F">
        <w:rPr>
          <w:rFonts w:ascii="Arial" w:hAnsi="Arial"/>
          <w:sz w:val="22"/>
          <w:szCs w:val="22"/>
          <w:shd w:val="clear" w:color="auto" w:fill="FFFFFF"/>
        </w:rPr>
        <w:t>Lithium-Ion</w:t>
      </w:r>
      <w:r>
        <w:rPr>
          <w:rFonts w:ascii="Arial" w:hAnsi="Arial"/>
          <w:sz w:val="22"/>
          <w:szCs w:val="22"/>
          <w:shd w:val="clear" w:color="auto" w:fill="FFFFFF"/>
        </w:rPr>
        <w:t xml:space="preserve">, les matériaux composites qui permettent de construire des véhicules </w:t>
      </w:r>
      <w:r w:rsidR="003B49A4">
        <w:rPr>
          <w:rFonts w:ascii="Arial" w:hAnsi="Arial"/>
          <w:sz w:val="22"/>
          <w:szCs w:val="22"/>
          <w:shd w:val="clear" w:color="auto" w:fill="FFFFFF"/>
        </w:rPr>
        <w:t xml:space="preserve">plus </w:t>
      </w:r>
      <w:r>
        <w:rPr>
          <w:rFonts w:ascii="Arial" w:hAnsi="Arial"/>
          <w:sz w:val="22"/>
          <w:szCs w:val="22"/>
          <w:shd w:val="clear" w:color="auto" w:fill="FFFFFF"/>
        </w:rPr>
        <w:t xml:space="preserve">légers </w:t>
      </w:r>
      <w:r w:rsidR="003B49A4">
        <w:rPr>
          <w:rFonts w:ascii="Arial" w:hAnsi="Arial"/>
          <w:sz w:val="22"/>
          <w:szCs w:val="22"/>
          <w:shd w:val="clear" w:color="auto" w:fill="FFFFFF"/>
        </w:rPr>
        <w:t xml:space="preserve">avec </w:t>
      </w:r>
      <w:r>
        <w:rPr>
          <w:rFonts w:ascii="Arial" w:hAnsi="Arial"/>
          <w:sz w:val="22"/>
          <w:szCs w:val="22"/>
          <w:shd w:val="clear" w:color="auto" w:fill="FFFFFF"/>
        </w:rPr>
        <w:t>une plus grande charge utile et les nouveaux modes de détection qui font l’impasse sur les puces électroniques, les batteries ou encore les câbles. Nous sommes</w:t>
      </w:r>
      <w:r w:rsidR="003B49A4">
        <w:rPr>
          <w:rFonts w:ascii="Arial" w:hAnsi="Arial"/>
          <w:sz w:val="22"/>
          <w:szCs w:val="22"/>
          <w:shd w:val="clear" w:color="auto" w:fill="FFFFFF"/>
        </w:rPr>
        <w:t xml:space="preserve"> tous</w:t>
      </w:r>
      <w:r>
        <w:rPr>
          <w:rFonts w:ascii="Arial" w:hAnsi="Arial"/>
          <w:sz w:val="22"/>
          <w:szCs w:val="22"/>
          <w:shd w:val="clear" w:color="auto" w:fill="FFFFFF"/>
        </w:rPr>
        <w:t xml:space="preserve"> mobilisés pour </w:t>
      </w:r>
      <w:r w:rsidR="003B49A4">
        <w:rPr>
          <w:rFonts w:ascii="Arial" w:hAnsi="Arial"/>
          <w:sz w:val="22"/>
          <w:szCs w:val="22"/>
          <w:shd w:val="clear" w:color="auto" w:fill="FFFFFF"/>
        </w:rPr>
        <w:t xml:space="preserve">que </w:t>
      </w:r>
      <w:r>
        <w:rPr>
          <w:rFonts w:ascii="Arial" w:hAnsi="Arial"/>
          <w:sz w:val="22"/>
          <w:szCs w:val="22"/>
          <w:shd w:val="clear" w:color="auto" w:fill="FFFFFF"/>
        </w:rPr>
        <w:t xml:space="preserve">Stellantis et le marché automobile </w:t>
      </w:r>
      <w:r w:rsidR="003B49A4">
        <w:rPr>
          <w:rFonts w:ascii="Arial" w:hAnsi="Arial"/>
          <w:sz w:val="22"/>
          <w:szCs w:val="22"/>
          <w:shd w:val="clear" w:color="auto" w:fill="FFFFFF"/>
        </w:rPr>
        <w:t xml:space="preserve">bénéficient </w:t>
      </w:r>
      <w:r>
        <w:rPr>
          <w:rFonts w:ascii="Arial" w:hAnsi="Arial"/>
          <w:sz w:val="22"/>
          <w:szCs w:val="22"/>
          <w:shd w:val="clear" w:color="auto" w:fill="FFFFFF"/>
        </w:rPr>
        <w:t>de chacune de ces applications. »</w:t>
      </w:r>
    </w:p>
    <w:p w14:paraId="2296C34D" w14:textId="13547748" w:rsidR="004272EE" w:rsidRDefault="004272EE" w:rsidP="00EB1B58">
      <w:pPr>
        <w:rPr>
          <w:rFonts w:ascii="Arial" w:hAnsi="Arial"/>
          <w:sz w:val="22"/>
          <w:szCs w:val="22"/>
          <w:shd w:val="clear" w:color="auto" w:fill="FFFFFF"/>
        </w:rPr>
      </w:pPr>
      <w:r>
        <w:rPr>
          <w:rFonts w:ascii="Arial" w:hAnsi="Arial"/>
          <w:sz w:val="22"/>
          <w:szCs w:val="22"/>
          <w:shd w:val="clear" w:color="auto" w:fill="FFFFFF"/>
        </w:rPr>
        <w:t xml:space="preserve">« Contrairement aux formes de graphène en deux dimensions, la production de notre Lyten 3D Graphene™ </w:t>
      </w:r>
      <w:r w:rsidR="005B1974">
        <w:rPr>
          <w:rFonts w:ascii="Arial" w:hAnsi="Arial"/>
          <w:sz w:val="22"/>
          <w:szCs w:val="22"/>
          <w:shd w:val="clear" w:color="auto" w:fill="FFFFFF"/>
        </w:rPr>
        <w:t xml:space="preserve">ajustable </w:t>
      </w:r>
      <w:r w:rsidR="001036F8" w:rsidRPr="001036F8">
        <w:rPr>
          <w:rFonts w:ascii="Arial" w:eastAsia="Times New Roman" w:hAnsi="Arial" w:cs="Arial"/>
          <w:sz w:val="22"/>
          <w:szCs w:val="22"/>
          <w:shd w:val="clear" w:color="auto" w:fill="FFFFFF"/>
        </w:rPr>
        <w:t>a été vérifiée</w:t>
      </w:r>
      <w:r w:rsidR="001036F8" w:rsidRPr="001036F8">
        <w:rPr>
          <w:rFonts w:ascii="Arial" w:hAnsi="Arial"/>
          <w:sz w:val="22"/>
          <w:szCs w:val="22"/>
          <w:shd w:val="clear" w:color="auto" w:fill="FFFFFF"/>
        </w:rPr>
        <w:t xml:space="preserve"> </w:t>
      </w:r>
      <w:r w:rsidR="001036F8">
        <w:rPr>
          <w:rFonts w:ascii="Arial" w:hAnsi="Arial"/>
          <w:sz w:val="22"/>
          <w:szCs w:val="22"/>
          <w:shd w:val="clear" w:color="auto" w:fill="FFFFFF"/>
        </w:rPr>
        <w:t>par un organisme indépendant</w:t>
      </w:r>
      <w:r w:rsidR="001036F8" w:rsidRPr="001036F8">
        <w:rPr>
          <w:rFonts w:ascii="Arial" w:eastAsia="Times New Roman" w:hAnsi="Arial" w:cs="Arial"/>
          <w:sz w:val="22"/>
          <w:szCs w:val="22"/>
          <w:shd w:val="clear" w:color="auto" w:fill="FFFFFF"/>
        </w:rPr>
        <w:t xml:space="preserve"> </w:t>
      </w:r>
      <w:r w:rsidR="003B49A4">
        <w:rPr>
          <w:rFonts w:ascii="Arial" w:eastAsia="Times New Roman" w:hAnsi="Arial" w:cs="Arial"/>
          <w:sz w:val="22"/>
          <w:szCs w:val="22"/>
          <w:shd w:val="clear" w:color="auto" w:fill="FFFFFF"/>
        </w:rPr>
        <w:t xml:space="preserve">et </w:t>
      </w:r>
      <w:r>
        <w:rPr>
          <w:rFonts w:ascii="Arial" w:hAnsi="Arial"/>
          <w:sz w:val="22"/>
          <w:szCs w:val="22"/>
          <w:shd w:val="clear" w:color="auto" w:fill="FFFFFF"/>
        </w:rPr>
        <w:t xml:space="preserve">s’est révélée </w:t>
      </w:r>
      <w:r w:rsidR="003B49A4">
        <w:rPr>
          <w:rFonts w:ascii="Arial" w:hAnsi="Arial"/>
          <w:sz w:val="22"/>
          <w:szCs w:val="22"/>
          <w:shd w:val="clear" w:color="auto" w:fill="FFFFFF"/>
        </w:rPr>
        <w:t xml:space="preserve">comme étant </w:t>
      </w:r>
      <w:r>
        <w:rPr>
          <w:rFonts w:ascii="Arial" w:hAnsi="Arial"/>
          <w:sz w:val="22"/>
          <w:szCs w:val="22"/>
          <w:shd w:val="clear" w:color="auto" w:fill="FFFFFF"/>
        </w:rPr>
        <w:t>neutre en carbone</w:t>
      </w:r>
      <w:r w:rsidR="001036F8">
        <w:rPr>
          <w:rFonts w:ascii="Arial" w:hAnsi="Arial"/>
          <w:sz w:val="22"/>
          <w:szCs w:val="22"/>
          <w:shd w:val="clear" w:color="auto" w:fill="FFFFFF"/>
        </w:rPr>
        <w:t xml:space="preserve">. </w:t>
      </w:r>
      <w:r>
        <w:rPr>
          <w:rFonts w:ascii="Arial" w:hAnsi="Arial"/>
          <w:sz w:val="22"/>
          <w:szCs w:val="22"/>
          <w:shd w:val="clear" w:color="auto" w:fill="FFFFFF"/>
        </w:rPr>
        <w:t>Nous convertissons les gaz à effet de serre en une nouvelle catégorie de matériaux à base de carbone hautement performant</w:t>
      </w:r>
      <w:r w:rsidR="00A548A8">
        <w:rPr>
          <w:rFonts w:ascii="Arial" w:hAnsi="Arial"/>
          <w:sz w:val="22"/>
          <w:szCs w:val="22"/>
          <w:shd w:val="clear" w:color="auto" w:fill="FFFFFF"/>
        </w:rPr>
        <w:t xml:space="preserve"> </w:t>
      </w:r>
      <w:r>
        <w:rPr>
          <w:rFonts w:ascii="Arial" w:hAnsi="Arial"/>
          <w:sz w:val="22"/>
          <w:szCs w:val="22"/>
          <w:shd w:val="clear" w:color="auto" w:fill="FFFFFF"/>
        </w:rPr>
        <w:t>et de grande valeur et incorporons ces matériaux dans des applications qui décarbon</w:t>
      </w:r>
      <w:r w:rsidR="005B1974">
        <w:rPr>
          <w:rFonts w:ascii="Arial" w:hAnsi="Arial"/>
          <w:sz w:val="22"/>
          <w:szCs w:val="22"/>
          <w:shd w:val="clear" w:color="auto" w:fill="FFFFFF"/>
        </w:rPr>
        <w:t>e</w:t>
      </w:r>
      <w:r>
        <w:rPr>
          <w:rFonts w:ascii="Arial" w:hAnsi="Arial"/>
          <w:sz w:val="22"/>
          <w:szCs w:val="22"/>
          <w:shd w:val="clear" w:color="auto" w:fill="FFFFFF"/>
        </w:rPr>
        <w:t>ront les secteurs les plus difficiles à décarboner sur notre planète</w:t>
      </w:r>
      <w:r w:rsidR="00E60D81">
        <w:rPr>
          <w:rFonts w:ascii="Arial" w:hAnsi="Arial"/>
          <w:sz w:val="22"/>
          <w:szCs w:val="22"/>
          <w:shd w:val="clear" w:color="auto" w:fill="FFFFFF"/>
        </w:rPr>
        <w:t>,</w:t>
      </w:r>
      <w:r>
        <w:rPr>
          <w:rFonts w:ascii="Arial" w:hAnsi="Arial"/>
          <w:sz w:val="22"/>
          <w:szCs w:val="22"/>
          <w:shd w:val="clear" w:color="auto" w:fill="FFFFFF"/>
        </w:rPr>
        <w:t xml:space="preserve"> » </w:t>
      </w:r>
      <w:r w:rsidR="001036F8">
        <w:rPr>
          <w:rFonts w:ascii="Arial" w:hAnsi="Arial"/>
          <w:sz w:val="22"/>
          <w:szCs w:val="22"/>
          <w:shd w:val="clear" w:color="auto" w:fill="FFFFFF"/>
        </w:rPr>
        <w:t xml:space="preserve">poursuit Dan Cook. </w:t>
      </w:r>
    </w:p>
    <w:p w14:paraId="3273F9A6" w14:textId="43E613D0" w:rsidR="001036F8" w:rsidRDefault="001036F8" w:rsidP="00EB1B58">
      <w:pPr>
        <w:rPr>
          <w:rFonts w:ascii="Arial" w:eastAsia="Times New Roman" w:hAnsi="Arial" w:cs="Arial"/>
          <w:sz w:val="22"/>
          <w:szCs w:val="22"/>
          <w:shd w:val="clear" w:color="auto" w:fill="FFFFFF"/>
        </w:rPr>
      </w:pPr>
      <w:r w:rsidRPr="001036F8">
        <w:rPr>
          <w:rFonts w:ascii="Arial" w:eastAsia="Times New Roman" w:hAnsi="Arial" w:cs="Arial"/>
          <w:sz w:val="22"/>
          <w:szCs w:val="22"/>
          <w:shd w:val="clear" w:color="auto" w:fill="FFFFFF"/>
        </w:rPr>
        <w:t>« </w:t>
      </w:r>
      <w:r w:rsidR="00A548A8">
        <w:rPr>
          <w:rFonts w:ascii="Arial" w:eastAsia="Times New Roman" w:hAnsi="Arial" w:cs="Arial"/>
          <w:sz w:val="22"/>
          <w:szCs w:val="22"/>
          <w:shd w:val="clear" w:color="auto" w:fill="FFFFFF"/>
        </w:rPr>
        <w:t>Après une récente visite de</w:t>
      </w:r>
      <w:r w:rsidRPr="001036F8">
        <w:rPr>
          <w:rFonts w:ascii="Arial" w:eastAsia="Times New Roman" w:hAnsi="Arial" w:cs="Arial"/>
          <w:sz w:val="22"/>
          <w:szCs w:val="22"/>
          <w:shd w:val="clear" w:color="auto" w:fill="FFFFFF"/>
        </w:rPr>
        <w:t xml:space="preserve"> Lyten </w:t>
      </w:r>
      <w:r w:rsidR="0023707A">
        <w:rPr>
          <w:rFonts w:ascii="Arial" w:eastAsia="Times New Roman" w:hAnsi="Arial" w:cs="Arial"/>
          <w:sz w:val="22"/>
          <w:szCs w:val="22"/>
          <w:shd w:val="clear" w:color="auto" w:fill="FFFFFF"/>
        </w:rPr>
        <w:t xml:space="preserve">avec </w:t>
      </w:r>
      <w:r w:rsidRPr="001036F8">
        <w:rPr>
          <w:rFonts w:ascii="Arial" w:eastAsia="Times New Roman" w:hAnsi="Arial" w:cs="Arial"/>
          <w:sz w:val="22"/>
          <w:szCs w:val="22"/>
          <w:shd w:val="clear" w:color="auto" w:fill="FFFFFF"/>
        </w:rPr>
        <w:t>Ned Curic</w:t>
      </w:r>
      <w:r>
        <w:rPr>
          <w:rFonts w:ascii="Arial" w:eastAsia="Times New Roman" w:hAnsi="Arial" w:cs="Arial"/>
          <w:sz w:val="22"/>
          <w:szCs w:val="22"/>
          <w:shd w:val="clear" w:color="auto" w:fill="FFFFFF"/>
        </w:rPr>
        <w:t xml:space="preserve">, </w:t>
      </w:r>
      <w:r w:rsidR="00A548A8">
        <w:rPr>
          <w:rFonts w:ascii="Arial" w:eastAsia="Times New Roman" w:hAnsi="Arial" w:cs="Arial"/>
          <w:sz w:val="22"/>
          <w:szCs w:val="22"/>
          <w:shd w:val="clear" w:color="auto" w:fill="FFFFFF"/>
        </w:rPr>
        <w:t xml:space="preserve">notre Chief </w:t>
      </w:r>
      <w:r w:rsidR="00E60D81">
        <w:rPr>
          <w:rFonts w:ascii="Arial" w:eastAsia="Times New Roman" w:hAnsi="Arial" w:cs="Arial"/>
          <w:sz w:val="22"/>
          <w:szCs w:val="22"/>
          <w:shd w:val="clear" w:color="auto" w:fill="FFFFFF"/>
        </w:rPr>
        <w:t xml:space="preserve">Technology </w:t>
      </w:r>
      <w:r w:rsidR="00A548A8">
        <w:rPr>
          <w:rFonts w:ascii="Arial" w:eastAsia="Times New Roman" w:hAnsi="Arial" w:cs="Arial"/>
          <w:sz w:val="22"/>
          <w:szCs w:val="22"/>
          <w:shd w:val="clear" w:color="auto" w:fill="FFFFFF"/>
        </w:rPr>
        <w:t>Officer (</w:t>
      </w:r>
      <w:r w:rsidRPr="001036F8">
        <w:rPr>
          <w:rFonts w:ascii="Arial" w:eastAsia="Times New Roman" w:hAnsi="Arial" w:cs="Arial"/>
          <w:sz w:val="22"/>
          <w:szCs w:val="22"/>
          <w:shd w:val="clear" w:color="auto" w:fill="FFFFFF"/>
        </w:rPr>
        <w:t>CTO</w:t>
      </w:r>
      <w:r w:rsidR="00A548A8">
        <w:rPr>
          <w:rFonts w:ascii="Arial" w:eastAsia="Times New Roman" w:hAnsi="Arial" w:cs="Arial"/>
          <w:sz w:val="22"/>
          <w:szCs w:val="22"/>
          <w:shd w:val="clear" w:color="auto" w:fill="FFFFFF"/>
        </w:rPr>
        <w:t xml:space="preserve">), </w:t>
      </w:r>
      <w:r w:rsidRPr="001036F8">
        <w:rPr>
          <w:rFonts w:ascii="Arial" w:eastAsia="Times New Roman" w:hAnsi="Arial" w:cs="Arial"/>
          <w:sz w:val="22"/>
          <w:szCs w:val="22"/>
          <w:shd w:val="clear" w:color="auto" w:fill="FFFFFF"/>
        </w:rPr>
        <w:t xml:space="preserve">et Adam Bazih, </w:t>
      </w:r>
      <w:r w:rsidR="00A548A8">
        <w:rPr>
          <w:rFonts w:ascii="Arial" w:eastAsia="Times New Roman" w:hAnsi="Arial" w:cs="Arial"/>
          <w:sz w:val="22"/>
          <w:szCs w:val="22"/>
          <w:shd w:val="clear" w:color="auto" w:fill="FFFFFF"/>
        </w:rPr>
        <w:t xml:space="preserve">le </w:t>
      </w:r>
      <w:r>
        <w:rPr>
          <w:rFonts w:ascii="Arial" w:hAnsi="Arial"/>
          <w:sz w:val="22"/>
          <w:szCs w:val="22"/>
          <w:shd w:val="clear" w:color="auto" w:fill="FFFFFF"/>
        </w:rPr>
        <w:t>Responsable de Stellantis Ventures</w:t>
      </w:r>
      <w:r w:rsidR="0023707A">
        <w:rPr>
          <w:rFonts w:ascii="Arial" w:hAnsi="Arial"/>
          <w:sz w:val="22"/>
          <w:szCs w:val="22"/>
          <w:shd w:val="clear" w:color="auto" w:fill="FFFFFF"/>
        </w:rPr>
        <w:t xml:space="preserve">, </w:t>
      </w:r>
      <w:r w:rsidRPr="001036F8">
        <w:rPr>
          <w:rFonts w:ascii="Arial" w:eastAsia="Times New Roman" w:hAnsi="Arial" w:cs="Arial"/>
          <w:sz w:val="22"/>
          <w:szCs w:val="22"/>
          <w:shd w:val="clear" w:color="auto" w:fill="FFFFFF"/>
        </w:rPr>
        <w:t xml:space="preserve">nous avons été impressionnés par le potentiel de cette technologie pour </w:t>
      </w:r>
      <w:r w:rsidR="00A548A8">
        <w:rPr>
          <w:rFonts w:ascii="Arial" w:eastAsia="Times New Roman" w:hAnsi="Arial" w:cs="Arial"/>
          <w:sz w:val="22"/>
          <w:szCs w:val="22"/>
          <w:shd w:val="clear" w:color="auto" w:fill="FFFFFF"/>
        </w:rPr>
        <w:t>contribuer à</w:t>
      </w:r>
      <w:r w:rsidRPr="001036F8">
        <w:rPr>
          <w:rFonts w:ascii="Arial" w:eastAsia="Times New Roman" w:hAnsi="Arial" w:cs="Arial"/>
          <w:sz w:val="22"/>
          <w:szCs w:val="22"/>
          <w:shd w:val="clear" w:color="auto" w:fill="FFFFFF"/>
        </w:rPr>
        <w:t xml:space="preserve"> une mobilité propre, sûre et abordable</w:t>
      </w:r>
      <w:r w:rsidR="000B21A7">
        <w:rPr>
          <w:rFonts w:ascii="Arial" w:eastAsia="Times New Roman" w:hAnsi="Arial" w:cs="Arial"/>
          <w:sz w:val="22"/>
          <w:szCs w:val="22"/>
          <w:shd w:val="clear" w:color="auto" w:fill="FFFFFF"/>
        </w:rPr>
        <w:t>,</w:t>
      </w:r>
      <w:r w:rsidRPr="001036F8">
        <w:rPr>
          <w:rFonts w:ascii="Arial" w:eastAsia="Times New Roman" w:hAnsi="Arial" w:cs="Arial"/>
          <w:sz w:val="22"/>
          <w:szCs w:val="22"/>
          <w:shd w:val="clear" w:color="auto" w:fill="FFFFFF"/>
        </w:rPr>
        <w:t xml:space="preserve"> » a déclaré Carlos Tavares, </w:t>
      </w:r>
      <w:r>
        <w:rPr>
          <w:rFonts w:ascii="Arial" w:eastAsia="Times New Roman" w:hAnsi="Arial" w:cs="Arial"/>
          <w:sz w:val="22"/>
          <w:szCs w:val="22"/>
          <w:shd w:val="clear" w:color="auto" w:fill="FFFFFF"/>
        </w:rPr>
        <w:t>CEO de S</w:t>
      </w:r>
      <w:r w:rsidRPr="001036F8">
        <w:rPr>
          <w:rFonts w:ascii="Arial" w:eastAsia="Times New Roman" w:hAnsi="Arial" w:cs="Arial"/>
          <w:sz w:val="22"/>
          <w:szCs w:val="22"/>
          <w:shd w:val="clear" w:color="auto" w:fill="FFFFFF"/>
        </w:rPr>
        <w:t xml:space="preserve">tellantis. « La </w:t>
      </w:r>
      <w:r w:rsidR="005B1974">
        <w:rPr>
          <w:rFonts w:ascii="Arial" w:eastAsia="Times New Roman" w:hAnsi="Arial" w:cs="Arial"/>
          <w:sz w:val="22"/>
          <w:szCs w:val="22"/>
          <w:shd w:val="clear" w:color="auto" w:fill="FFFFFF"/>
        </w:rPr>
        <w:t>technologie</w:t>
      </w:r>
      <w:r w:rsidRPr="001036F8">
        <w:rPr>
          <w:rFonts w:ascii="Arial" w:eastAsia="Times New Roman" w:hAnsi="Arial" w:cs="Arial"/>
          <w:sz w:val="22"/>
          <w:szCs w:val="22"/>
          <w:shd w:val="clear" w:color="auto" w:fill="FFFFFF"/>
        </w:rPr>
        <w:t xml:space="preserve"> matériaux de Lyten est un investissement clé pour Stellantis Ventures, conformément à notre objectif Dare Forward 2030 </w:t>
      </w:r>
      <w:r w:rsidR="00A548A8">
        <w:rPr>
          <w:rFonts w:ascii="Arial" w:eastAsia="Times New Roman" w:hAnsi="Arial" w:cs="Arial"/>
          <w:sz w:val="22"/>
          <w:szCs w:val="22"/>
          <w:shd w:val="clear" w:color="auto" w:fill="FFFFFF"/>
        </w:rPr>
        <w:t>d’</w:t>
      </w:r>
      <w:r w:rsidRPr="001036F8">
        <w:rPr>
          <w:rFonts w:ascii="Arial" w:eastAsia="Times New Roman" w:hAnsi="Arial" w:cs="Arial"/>
          <w:sz w:val="22"/>
          <w:szCs w:val="22"/>
          <w:shd w:val="clear" w:color="auto" w:fill="FFFFFF"/>
        </w:rPr>
        <w:t>accélérer le déploiement de technologies novatrices axées sur le client. Plus précisément, la batterie Lithium-</w:t>
      </w:r>
      <w:r w:rsidR="00A548A8">
        <w:rPr>
          <w:rFonts w:ascii="Arial" w:eastAsia="Times New Roman" w:hAnsi="Arial" w:cs="Arial"/>
          <w:sz w:val="22"/>
          <w:szCs w:val="22"/>
          <w:shd w:val="clear" w:color="auto" w:fill="FFFFFF"/>
        </w:rPr>
        <w:t xml:space="preserve">Soufre </w:t>
      </w:r>
      <w:r w:rsidRPr="001036F8">
        <w:rPr>
          <w:rFonts w:ascii="Arial" w:eastAsia="Times New Roman" w:hAnsi="Arial" w:cs="Arial"/>
          <w:sz w:val="22"/>
          <w:szCs w:val="22"/>
          <w:shd w:val="clear" w:color="auto" w:fill="FFFFFF"/>
        </w:rPr>
        <w:t xml:space="preserve">de Lyten </w:t>
      </w:r>
      <w:r w:rsidR="0002636A">
        <w:rPr>
          <w:rFonts w:ascii="Arial" w:eastAsia="Times New Roman" w:hAnsi="Arial" w:cs="Arial"/>
          <w:sz w:val="22"/>
          <w:szCs w:val="22"/>
          <w:shd w:val="clear" w:color="auto" w:fill="FFFFFF"/>
        </w:rPr>
        <w:t xml:space="preserve">pourrait être </w:t>
      </w:r>
      <w:r w:rsidRPr="001036F8">
        <w:rPr>
          <w:rFonts w:ascii="Arial" w:eastAsia="Times New Roman" w:hAnsi="Arial" w:cs="Arial"/>
          <w:sz w:val="22"/>
          <w:szCs w:val="22"/>
          <w:shd w:val="clear" w:color="auto" w:fill="FFFFFF"/>
        </w:rPr>
        <w:t xml:space="preserve">un </w:t>
      </w:r>
      <w:r w:rsidR="0023707A">
        <w:rPr>
          <w:rFonts w:ascii="Arial" w:eastAsia="Times New Roman" w:hAnsi="Arial" w:cs="Arial"/>
          <w:sz w:val="22"/>
          <w:szCs w:val="22"/>
          <w:shd w:val="clear" w:color="auto" w:fill="FFFFFF"/>
        </w:rPr>
        <w:t>élément</w:t>
      </w:r>
      <w:r w:rsidRPr="001036F8">
        <w:rPr>
          <w:rFonts w:ascii="Arial" w:eastAsia="Times New Roman" w:hAnsi="Arial" w:cs="Arial"/>
          <w:sz w:val="22"/>
          <w:szCs w:val="22"/>
          <w:shd w:val="clear" w:color="auto" w:fill="FFFFFF"/>
        </w:rPr>
        <w:t xml:space="preserve"> </w:t>
      </w:r>
      <w:r w:rsidR="0002636A">
        <w:rPr>
          <w:rFonts w:ascii="Arial" w:eastAsia="Times New Roman" w:hAnsi="Arial" w:cs="Arial"/>
          <w:sz w:val="22"/>
          <w:szCs w:val="22"/>
          <w:shd w:val="clear" w:color="auto" w:fill="FFFFFF"/>
        </w:rPr>
        <w:t>essentiel à</w:t>
      </w:r>
      <w:r w:rsidR="00A548A8">
        <w:rPr>
          <w:rFonts w:ascii="Arial" w:eastAsia="Times New Roman" w:hAnsi="Arial" w:cs="Arial"/>
          <w:sz w:val="22"/>
          <w:szCs w:val="22"/>
          <w:shd w:val="clear" w:color="auto" w:fill="FFFFFF"/>
        </w:rPr>
        <w:t xml:space="preserve"> </w:t>
      </w:r>
      <w:r w:rsidRPr="001036F8">
        <w:rPr>
          <w:rFonts w:ascii="Arial" w:eastAsia="Times New Roman" w:hAnsi="Arial" w:cs="Arial"/>
          <w:sz w:val="22"/>
          <w:szCs w:val="22"/>
          <w:shd w:val="clear" w:color="auto" w:fill="FFFFFF"/>
        </w:rPr>
        <w:t xml:space="preserve">l’adoption </w:t>
      </w:r>
      <w:r w:rsidR="00A548A8">
        <w:rPr>
          <w:rFonts w:ascii="Arial" w:eastAsia="Times New Roman" w:hAnsi="Arial" w:cs="Arial"/>
          <w:sz w:val="22"/>
          <w:szCs w:val="22"/>
          <w:shd w:val="clear" w:color="auto" w:fill="FFFFFF"/>
        </w:rPr>
        <w:t xml:space="preserve">à grande échelle </w:t>
      </w:r>
      <w:r w:rsidRPr="001036F8">
        <w:rPr>
          <w:rFonts w:ascii="Arial" w:eastAsia="Times New Roman" w:hAnsi="Arial" w:cs="Arial"/>
          <w:sz w:val="22"/>
          <w:szCs w:val="22"/>
          <w:shd w:val="clear" w:color="auto" w:fill="FFFFFF"/>
        </w:rPr>
        <w:t>de</w:t>
      </w:r>
      <w:r>
        <w:rPr>
          <w:rFonts w:ascii="Arial" w:eastAsia="Times New Roman" w:hAnsi="Arial" w:cs="Arial"/>
          <w:sz w:val="22"/>
          <w:szCs w:val="22"/>
          <w:shd w:val="clear" w:color="auto" w:fill="FFFFFF"/>
        </w:rPr>
        <w:t xml:space="preserve"> véhicules électriques </w:t>
      </w:r>
      <w:r w:rsidR="00A548A8">
        <w:rPr>
          <w:rFonts w:ascii="Arial" w:eastAsia="Times New Roman" w:hAnsi="Arial" w:cs="Arial"/>
          <w:sz w:val="22"/>
          <w:szCs w:val="22"/>
          <w:shd w:val="clear" w:color="auto" w:fill="FFFFFF"/>
        </w:rPr>
        <w:t>dans le monde entier</w:t>
      </w:r>
      <w:r w:rsidR="0002636A">
        <w:rPr>
          <w:rFonts w:ascii="Arial" w:eastAsia="Times New Roman" w:hAnsi="Arial" w:cs="Arial"/>
          <w:sz w:val="22"/>
          <w:szCs w:val="22"/>
          <w:shd w:val="clear" w:color="auto" w:fill="FFFFFF"/>
        </w:rPr>
        <w:t xml:space="preserve">. Par ailleurs, </w:t>
      </w:r>
      <w:r w:rsidRPr="001036F8">
        <w:rPr>
          <w:rFonts w:ascii="Arial" w:eastAsia="Times New Roman" w:hAnsi="Arial" w:cs="Arial"/>
          <w:sz w:val="22"/>
          <w:szCs w:val="22"/>
          <w:shd w:val="clear" w:color="auto" w:fill="FFFFFF"/>
        </w:rPr>
        <w:t>sa technologie est bien positionnée pour aider à réduire le poids des véhicules</w:t>
      </w:r>
      <w:r w:rsidR="0002636A">
        <w:rPr>
          <w:rFonts w:ascii="Arial" w:eastAsia="Times New Roman" w:hAnsi="Arial" w:cs="Arial"/>
          <w:sz w:val="22"/>
          <w:szCs w:val="22"/>
          <w:shd w:val="clear" w:color="auto" w:fill="FFFFFF"/>
        </w:rPr>
        <w:t xml:space="preserve">, </w:t>
      </w:r>
      <w:r w:rsidR="00A548A8">
        <w:rPr>
          <w:rFonts w:ascii="Arial" w:eastAsia="Times New Roman" w:hAnsi="Arial" w:cs="Arial"/>
          <w:sz w:val="22"/>
          <w:szCs w:val="22"/>
          <w:shd w:val="clear" w:color="auto" w:fill="FFFFFF"/>
        </w:rPr>
        <w:t xml:space="preserve">ce qui est </w:t>
      </w:r>
      <w:r w:rsidR="004B395A">
        <w:rPr>
          <w:rFonts w:ascii="Arial" w:eastAsia="Times New Roman" w:hAnsi="Arial" w:cs="Arial"/>
          <w:sz w:val="22"/>
          <w:szCs w:val="22"/>
          <w:shd w:val="clear" w:color="auto" w:fill="FFFFFF"/>
        </w:rPr>
        <w:t xml:space="preserve">aussi </w:t>
      </w:r>
      <w:r w:rsidRPr="001036F8">
        <w:rPr>
          <w:rFonts w:ascii="Arial" w:eastAsia="Times New Roman" w:hAnsi="Arial" w:cs="Arial"/>
          <w:sz w:val="22"/>
          <w:szCs w:val="22"/>
          <w:shd w:val="clear" w:color="auto" w:fill="FFFFFF"/>
        </w:rPr>
        <w:t xml:space="preserve">nécessaire pour que notre industrie atteigne ses objectifs de </w:t>
      </w:r>
      <w:r w:rsidR="0023707A">
        <w:rPr>
          <w:rFonts w:ascii="Arial" w:eastAsia="Times New Roman" w:hAnsi="Arial" w:cs="Arial"/>
          <w:sz w:val="22"/>
          <w:szCs w:val="22"/>
          <w:shd w:val="clear" w:color="auto" w:fill="FFFFFF"/>
        </w:rPr>
        <w:t>neutralité carbone. »</w:t>
      </w:r>
    </w:p>
    <w:p w14:paraId="5258C254" w14:textId="5C52F3C7" w:rsidR="003E1061" w:rsidRDefault="00AC49FA" w:rsidP="00EB1B58">
      <w:pPr>
        <w:rPr>
          <w:rFonts w:ascii="Arial" w:hAnsi="Arial"/>
          <w:sz w:val="22"/>
          <w:szCs w:val="22"/>
          <w:shd w:val="clear" w:color="auto" w:fill="FFFFFF"/>
        </w:rPr>
      </w:pPr>
      <w:r>
        <w:rPr>
          <w:rFonts w:ascii="Arial" w:hAnsi="Arial"/>
          <w:sz w:val="22"/>
          <w:szCs w:val="22"/>
          <w:shd w:val="clear" w:color="auto" w:fill="FFFFFF"/>
        </w:rPr>
        <w:t xml:space="preserve">Avec </w:t>
      </w:r>
      <w:r w:rsidR="003E1061">
        <w:rPr>
          <w:rFonts w:ascii="Arial" w:hAnsi="Arial"/>
          <w:sz w:val="22"/>
          <w:szCs w:val="22"/>
          <w:shd w:val="clear" w:color="auto" w:fill="FFFFFF"/>
        </w:rPr>
        <w:t xml:space="preserve">le risque de pénurie sur les </w:t>
      </w:r>
      <w:r w:rsidR="004272EE">
        <w:rPr>
          <w:rFonts w:ascii="Arial" w:hAnsi="Arial"/>
          <w:sz w:val="22"/>
          <w:szCs w:val="22"/>
          <w:shd w:val="clear" w:color="auto" w:fill="FFFFFF"/>
        </w:rPr>
        <w:t xml:space="preserve">matériaux indispensables pour la production des batteries </w:t>
      </w:r>
      <w:r w:rsidR="005B1974">
        <w:rPr>
          <w:rFonts w:ascii="Arial" w:hAnsi="Arial"/>
          <w:sz w:val="22"/>
          <w:szCs w:val="22"/>
          <w:shd w:val="clear" w:color="auto" w:fill="FFFFFF"/>
        </w:rPr>
        <w:t>L</w:t>
      </w:r>
      <w:r w:rsidR="004272EE">
        <w:rPr>
          <w:rFonts w:ascii="Arial" w:hAnsi="Arial"/>
          <w:sz w:val="22"/>
          <w:szCs w:val="22"/>
          <w:shd w:val="clear" w:color="auto" w:fill="FFFFFF"/>
        </w:rPr>
        <w:t>ithium-</w:t>
      </w:r>
      <w:r w:rsidR="00267C1F">
        <w:rPr>
          <w:rFonts w:ascii="Arial" w:hAnsi="Arial"/>
          <w:sz w:val="22"/>
          <w:szCs w:val="22"/>
          <w:shd w:val="clear" w:color="auto" w:fill="FFFFFF"/>
        </w:rPr>
        <w:t>I</w:t>
      </w:r>
      <w:r w:rsidR="004272EE">
        <w:rPr>
          <w:rFonts w:ascii="Arial" w:hAnsi="Arial"/>
          <w:sz w:val="22"/>
          <w:szCs w:val="22"/>
          <w:shd w:val="clear" w:color="auto" w:fill="FFFFFF"/>
        </w:rPr>
        <w:t xml:space="preserve">on classiques </w:t>
      </w:r>
      <w:r w:rsidR="003E1061">
        <w:rPr>
          <w:rFonts w:ascii="Arial" w:hAnsi="Arial"/>
          <w:sz w:val="22"/>
          <w:szCs w:val="22"/>
          <w:shd w:val="clear" w:color="auto" w:fill="FFFFFF"/>
        </w:rPr>
        <w:t xml:space="preserve">actuellement </w:t>
      </w:r>
      <w:r w:rsidR="004272EE">
        <w:rPr>
          <w:rFonts w:ascii="Arial" w:hAnsi="Arial"/>
          <w:sz w:val="22"/>
          <w:szCs w:val="22"/>
          <w:shd w:val="clear" w:color="auto" w:fill="FFFFFF"/>
        </w:rPr>
        <w:t xml:space="preserve">utilisées dans la fabrication des voitures électriques, </w:t>
      </w:r>
      <w:r>
        <w:rPr>
          <w:rFonts w:ascii="Arial" w:hAnsi="Arial"/>
          <w:sz w:val="22"/>
          <w:szCs w:val="22"/>
          <w:shd w:val="clear" w:color="auto" w:fill="FFFFFF"/>
        </w:rPr>
        <w:t>la</w:t>
      </w:r>
      <w:r w:rsidR="004272EE">
        <w:rPr>
          <w:rFonts w:ascii="Arial" w:hAnsi="Arial"/>
          <w:sz w:val="22"/>
          <w:szCs w:val="22"/>
          <w:shd w:val="clear" w:color="auto" w:fill="FFFFFF"/>
        </w:rPr>
        <w:t xml:space="preserve"> </w:t>
      </w:r>
      <w:r w:rsidR="004B395A">
        <w:rPr>
          <w:rFonts w:ascii="Arial" w:hAnsi="Arial"/>
          <w:sz w:val="22"/>
          <w:szCs w:val="22"/>
          <w:shd w:val="clear" w:color="auto" w:fill="FFFFFF"/>
        </w:rPr>
        <w:t xml:space="preserve">technologie </w:t>
      </w:r>
      <w:r>
        <w:rPr>
          <w:rFonts w:ascii="Arial" w:hAnsi="Arial"/>
          <w:sz w:val="22"/>
          <w:szCs w:val="22"/>
          <w:shd w:val="clear" w:color="auto" w:fill="FFFFFF"/>
        </w:rPr>
        <w:t>L</w:t>
      </w:r>
      <w:r w:rsidR="004272EE">
        <w:rPr>
          <w:rFonts w:ascii="Arial" w:hAnsi="Arial"/>
          <w:sz w:val="22"/>
          <w:szCs w:val="22"/>
          <w:shd w:val="clear" w:color="auto" w:fill="FFFFFF"/>
        </w:rPr>
        <w:t>ithium-</w:t>
      </w:r>
      <w:r>
        <w:rPr>
          <w:rFonts w:ascii="Arial" w:hAnsi="Arial"/>
          <w:sz w:val="22"/>
          <w:szCs w:val="22"/>
          <w:shd w:val="clear" w:color="auto" w:fill="FFFFFF"/>
        </w:rPr>
        <w:t>S</w:t>
      </w:r>
      <w:r w:rsidR="004272EE">
        <w:rPr>
          <w:rFonts w:ascii="Arial" w:hAnsi="Arial"/>
          <w:sz w:val="22"/>
          <w:szCs w:val="22"/>
          <w:shd w:val="clear" w:color="auto" w:fill="FFFFFF"/>
        </w:rPr>
        <w:t xml:space="preserve">oufre offrira une solution alternative dotée d’une cathode sans nickel, manganèse, ni cobalt, </w:t>
      </w:r>
      <w:r w:rsidR="003E1061">
        <w:rPr>
          <w:rFonts w:ascii="Arial" w:hAnsi="Arial"/>
          <w:sz w:val="22"/>
          <w:szCs w:val="22"/>
          <w:shd w:val="clear" w:color="auto" w:fill="FFFFFF"/>
        </w:rPr>
        <w:t xml:space="preserve">ce </w:t>
      </w:r>
      <w:r w:rsidR="004272EE">
        <w:rPr>
          <w:rFonts w:ascii="Arial" w:hAnsi="Arial"/>
          <w:sz w:val="22"/>
          <w:szCs w:val="22"/>
          <w:shd w:val="clear" w:color="auto" w:fill="FFFFFF"/>
        </w:rPr>
        <w:t xml:space="preserve">qui facilitera la transition </w:t>
      </w:r>
      <w:r>
        <w:rPr>
          <w:rFonts w:ascii="Arial" w:hAnsi="Arial"/>
          <w:sz w:val="22"/>
          <w:szCs w:val="22"/>
          <w:shd w:val="clear" w:color="auto" w:fill="FFFFFF"/>
        </w:rPr>
        <w:t>mondiale</w:t>
      </w:r>
      <w:r w:rsidR="004272EE">
        <w:rPr>
          <w:rFonts w:ascii="Arial" w:hAnsi="Arial"/>
          <w:sz w:val="22"/>
          <w:szCs w:val="22"/>
          <w:shd w:val="clear" w:color="auto" w:fill="FFFFFF"/>
        </w:rPr>
        <w:t xml:space="preserve"> </w:t>
      </w:r>
      <w:r w:rsidR="003E1061">
        <w:rPr>
          <w:rFonts w:ascii="Arial" w:hAnsi="Arial"/>
          <w:sz w:val="22"/>
          <w:szCs w:val="22"/>
          <w:shd w:val="clear" w:color="auto" w:fill="FFFFFF"/>
        </w:rPr>
        <w:t xml:space="preserve">à grande échelle </w:t>
      </w:r>
      <w:r w:rsidR="004272EE">
        <w:rPr>
          <w:rFonts w:ascii="Arial" w:hAnsi="Arial"/>
          <w:sz w:val="22"/>
          <w:szCs w:val="22"/>
          <w:shd w:val="clear" w:color="auto" w:fill="FFFFFF"/>
        </w:rPr>
        <w:t xml:space="preserve">vers les véhicules électriques. </w:t>
      </w:r>
      <w:r w:rsidRPr="00AC49FA">
        <w:rPr>
          <w:rFonts w:ascii="Arial" w:hAnsi="Arial"/>
          <w:sz w:val="22"/>
          <w:szCs w:val="22"/>
          <w:shd w:val="clear" w:color="auto" w:fill="FFFFFF"/>
        </w:rPr>
        <w:t>L</w:t>
      </w:r>
      <w:r w:rsidR="00E60D81">
        <w:rPr>
          <w:rFonts w:ascii="Arial" w:hAnsi="Arial"/>
          <w:sz w:val="22"/>
          <w:szCs w:val="22"/>
          <w:shd w:val="clear" w:color="auto" w:fill="FFFFFF"/>
        </w:rPr>
        <w:t>’</w:t>
      </w:r>
      <w:r w:rsidRPr="00AC49FA">
        <w:rPr>
          <w:rFonts w:ascii="Arial" w:hAnsi="Arial"/>
          <w:sz w:val="22"/>
          <w:szCs w:val="22"/>
          <w:shd w:val="clear" w:color="auto" w:fill="FFFFFF"/>
        </w:rPr>
        <w:t>objectif de Lyten est de fournir à ses clients un approvisionnement sûr en produits performants et respectueux de l</w:t>
      </w:r>
      <w:r w:rsidR="00E60D81">
        <w:rPr>
          <w:rFonts w:ascii="Arial" w:hAnsi="Arial"/>
          <w:sz w:val="22"/>
          <w:szCs w:val="22"/>
          <w:shd w:val="clear" w:color="auto" w:fill="FFFFFF"/>
        </w:rPr>
        <w:t>’</w:t>
      </w:r>
      <w:r w:rsidRPr="00AC49FA">
        <w:rPr>
          <w:rFonts w:ascii="Arial" w:hAnsi="Arial"/>
          <w:sz w:val="22"/>
          <w:szCs w:val="22"/>
          <w:shd w:val="clear" w:color="auto" w:fill="FFFFFF"/>
        </w:rPr>
        <w:t xml:space="preserve">environnement, </w:t>
      </w:r>
      <w:r w:rsidR="004272EE">
        <w:rPr>
          <w:rFonts w:ascii="Arial" w:hAnsi="Arial"/>
          <w:sz w:val="22"/>
          <w:szCs w:val="22"/>
          <w:shd w:val="clear" w:color="auto" w:fill="FFFFFF"/>
        </w:rPr>
        <w:t>tout en permettant aux constructeurs automobiles de profiter de</w:t>
      </w:r>
      <w:r w:rsidR="003E1061">
        <w:rPr>
          <w:rFonts w:ascii="Arial" w:hAnsi="Arial"/>
          <w:sz w:val="22"/>
          <w:szCs w:val="22"/>
          <w:shd w:val="clear" w:color="auto" w:fill="FFFFFF"/>
        </w:rPr>
        <w:t xml:space="preserve"> la croissance des marchés américains et europé</w:t>
      </w:r>
      <w:r w:rsidR="004B395A">
        <w:rPr>
          <w:rFonts w:ascii="Arial" w:hAnsi="Arial"/>
          <w:sz w:val="22"/>
          <w:szCs w:val="22"/>
          <w:shd w:val="clear" w:color="auto" w:fill="FFFFFF"/>
        </w:rPr>
        <w:t>e</w:t>
      </w:r>
      <w:r w:rsidR="003E1061">
        <w:rPr>
          <w:rFonts w:ascii="Arial" w:hAnsi="Arial"/>
          <w:sz w:val="22"/>
          <w:szCs w:val="22"/>
          <w:shd w:val="clear" w:color="auto" w:fill="FFFFFF"/>
        </w:rPr>
        <w:t>ns.</w:t>
      </w:r>
    </w:p>
    <w:p w14:paraId="6D50FBF9" w14:textId="581D9FF4" w:rsidR="004272EE" w:rsidRDefault="004272EE" w:rsidP="00EB1B58">
      <w:pPr>
        <w:rPr>
          <w:rFonts w:ascii="Arial" w:hAnsi="Arial"/>
          <w:sz w:val="22"/>
          <w:szCs w:val="22"/>
          <w:shd w:val="clear" w:color="auto" w:fill="FFFFFF"/>
        </w:rPr>
      </w:pPr>
      <w:r>
        <w:rPr>
          <w:rFonts w:ascii="Arial" w:hAnsi="Arial"/>
          <w:sz w:val="22"/>
          <w:szCs w:val="22"/>
          <w:shd w:val="clear" w:color="auto" w:fill="FFFFFF"/>
        </w:rPr>
        <w:t xml:space="preserve">La production de la batterie </w:t>
      </w:r>
      <w:r w:rsidR="004B395A">
        <w:rPr>
          <w:rFonts w:ascii="Arial" w:hAnsi="Arial"/>
          <w:sz w:val="22"/>
          <w:szCs w:val="22"/>
          <w:shd w:val="clear" w:color="auto" w:fill="FFFFFF"/>
        </w:rPr>
        <w:t>L</w:t>
      </w:r>
      <w:r>
        <w:rPr>
          <w:rFonts w:ascii="Arial" w:hAnsi="Arial"/>
          <w:sz w:val="22"/>
          <w:szCs w:val="22"/>
          <w:shd w:val="clear" w:color="auto" w:fill="FFFFFF"/>
        </w:rPr>
        <w:t>ithium-</w:t>
      </w:r>
      <w:r w:rsidR="004B395A">
        <w:rPr>
          <w:rFonts w:ascii="Arial" w:hAnsi="Arial"/>
          <w:sz w:val="22"/>
          <w:szCs w:val="22"/>
          <w:shd w:val="clear" w:color="auto" w:fill="FFFFFF"/>
        </w:rPr>
        <w:t>S</w:t>
      </w:r>
      <w:r>
        <w:rPr>
          <w:rFonts w:ascii="Arial" w:hAnsi="Arial"/>
          <w:sz w:val="22"/>
          <w:szCs w:val="22"/>
          <w:shd w:val="clear" w:color="auto" w:fill="FFFFFF"/>
        </w:rPr>
        <w:t xml:space="preserve">oufre, des matériaux composites et des technologies de capteurs de Lyten a commencé dans son </w:t>
      </w:r>
      <w:r w:rsidR="005B2FE4">
        <w:rPr>
          <w:rFonts w:ascii="Arial" w:hAnsi="Arial"/>
          <w:sz w:val="22"/>
          <w:szCs w:val="22"/>
          <w:shd w:val="clear" w:color="auto" w:fill="FFFFFF"/>
        </w:rPr>
        <w:t xml:space="preserve">usine </w:t>
      </w:r>
      <w:r>
        <w:rPr>
          <w:rFonts w:ascii="Arial" w:hAnsi="Arial"/>
          <w:sz w:val="22"/>
          <w:szCs w:val="22"/>
          <w:shd w:val="clear" w:color="auto" w:fill="FFFFFF"/>
        </w:rPr>
        <w:t xml:space="preserve">de plus de </w:t>
      </w:r>
      <w:r w:rsidR="00767DB2">
        <w:rPr>
          <w:rFonts w:ascii="Arial" w:hAnsi="Arial"/>
          <w:sz w:val="22"/>
          <w:szCs w:val="22"/>
          <w:shd w:val="clear" w:color="auto" w:fill="FFFFFF"/>
        </w:rPr>
        <w:t>13 000 </w:t>
      </w:r>
      <w:r w:rsidR="00AC49FA">
        <w:rPr>
          <w:rFonts w:ascii="Arial" w:hAnsi="Arial"/>
          <w:sz w:val="22"/>
          <w:szCs w:val="22"/>
          <w:shd w:val="clear" w:color="auto" w:fill="FFFFFF"/>
        </w:rPr>
        <w:t>m²</w:t>
      </w:r>
      <w:r>
        <w:rPr>
          <w:rFonts w:ascii="Arial" w:hAnsi="Arial"/>
          <w:sz w:val="22"/>
          <w:szCs w:val="22"/>
          <w:shd w:val="clear" w:color="auto" w:fill="FFFFFF"/>
        </w:rPr>
        <w:t xml:space="preserve"> </w:t>
      </w:r>
      <w:r w:rsidR="00AC49FA">
        <w:rPr>
          <w:rFonts w:ascii="Arial" w:hAnsi="Arial"/>
          <w:sz w:val="22"/>
          <w:szCs w:val="22"/>
          <w:shd w:val="clear" w:color="auto" w:fill="FFFFFF"/>
        </w:rPr>
        <w:t>dans la Silicon Valley</w:t>
      </w:r>
      <w:r>
        <w:rPr>
          <w:rFonts w:ascii="Arial" w:hAnsi="Arial"/>
          <w:sz w:val="22"/>
          <w:szCs w:val="22"/>
          <w:shd w:val="clear" w:color="auto" w:fill="FFFFFF"/>
        </w:rPr>
        <w:t xml:space="preserve">. </w:t>
      </w:r>
      <w:r w:rsidR="00AC49FA" w:rsidRPr="00AC49FA">
        <w:rPr>
          <w:rFonts w:ascii="Arial" w:eastAsia="Times New Roman" w:hAnsi="Arial" w:cs="Arial"/>
          <w:sz w:val="22"/>
          <w:szCs w:val="22"/>
          <w:shd w:val="clear" w:color="auto" w:fill="FFFFFF"/>
        </w:rPr>
        <w:t>Outre la production de batteries pour véhicules électriques, Lyten travaille avec d</w:t>
      </w:r>
      <w:r w:rsidR="007434B2">
        <w:rPr>
          <w:rFonts w:ascii="Arial" w:eastAsia="Times New Roman" w:hAnsi="Arial" w:cs="Arial"/>
          <w:sz w:val="22"/>
          <w:szCs w:val="22"/>
          <w:shd w:val="clear" w:color="auto" w:fill="FFFFFF"/>
        </w:rPr>
        <w:t>’</w:t>
      </w:r>
      <w:r w:rsidR="00AC49FA" w:rsidRPr="00AC49FA">
        <w:rPr>
          <w:rFonts w:ascii="Arial" w:eastAsia="Times New Roman" w:hAnsi="Arial" w:cs="Arial"/>
          <w:sz w:val="22"/>
          <w:szCs w:val="22"/>
          <w:shd w:val="clear" w:color="auto" w:fill="FFFFFF"/>
        </w:rPr>
        <w:t xml:space="preserve">anciens clients pour commencer à fournir des batteries au </w:t>
      </w:r>
      <w:r w:rsidR="00267C1F">
        <w:rPr>
          <w:rFonts w:ascii="Arial" w:eastAsia="Times New Roman" w:hAnsi="Arial" w:cs="Arial"/>
          <w:sz w:val="22"/>
          <w:szCs w:val="22"/>
          <w:shd w:val="clear" w:color="auto" w:fill="FFFFFF"/>
        </w:rPr>
        <w:t>Lithium-Soufre</w:t>
      </w:r>
      <w:r w:rsidR="00AC49FA" w:rsidRPr="00AC49FA">
        <w:rPr>
          <w:rFonts w:ascii="Arial" w:eastAsia="Times New Roman" w:hAnsi="Arial" w:cs="Arial"/>
          <w:sz w:val="22"/>
          <w:szCs w:val="22"/>
          <w:shd w:val="clear" w:color="auto" w:fill="FFFFFF"/>
        </w:rPr>
        <w:t xml:space="preserve"> et des composites infusés de graphène 3D pour les marchés spécialisés en 2023</w:t>
      </w:r>
      <w:r>
        <w:rPr>
          <w:rFonts w:ascii="Arial" w:hAnsi="Arial"/>
          <w:sz w:val="22"/>
          <w:szCs w:val="22"/>
          <w:shd w:val="clear" w:color="auto" w:fill="FFFFFF"/>
        </w:rPr>
        <w:t xml:space="preserve">. Lyten collabore actuellement avec ses investisseurs stratégiques de </w:t>
      </w:r>
      <w:r w:rsidR="00AC49FA">
        <w:rPr>
          <w:rFonts w:ascii="Arial" w:hAnsi="Arial"/>
          <w:sz w:val="22"/>
          <w:szCs w:val="22"/>
          <w:shd w:val="clear" w:color="auto" w:fill="FFFFFF"/>
        </w:rPr>
        <w:t>plusieurs secteurs</w:t>
      </w:r>
      <w:r>
        <w:rPr>
          <w:rFonts w:ascii="Arial" w:hAnsi="Arial"/>
          <w:sz w:val="22"/>
          <w:szCs w:val="22"/>
          <w:shd w:val="clear" w:color="auto" w:fill="FFFFFF"/>
        </w:rPr>
        <w:t xml:space="preserve"> pour appliquer les matériaux à base de Lyten 3D Graphene pour décarboner d’autres secteurs </w:t>
      </w:r>
      <w:r w:rsidR="00AC49FA">
        <w:rPr>
          <w:rFonts w:ascii="Arial" w:hAnsi="Arial"/>
          <w:sz w:val="22"/>
          <w:szCs w:val="22"/>
          <w:shd w:val="clear" w:color="auto" w:fill="FFFFFF"/>
        </w:rPr>
        <w:t>à forte intensité de carbone</w:t>
      </w:r>
      <w:r>
        <w:rPr>
          <w:rFonts w:ascii="Arial" w:hAnsi="Arial"/>
          <w:sz w:val="22"/>
          <w:szCs w:val="22"/>
          <w:shd w:val="clear" w:color="auto" w:fill="FFFFFF"/>
        </w:rPr>
        <w:t xml:space="preserve">, </w:t>
      </w:r>
      <w:r w:rsidR="004B395A">
        <w:rPr>
          <w:rFonts w:ascii="Arial" w:hAnsi="Arial"/>
          <w:sz w:val="22"/>
          <w:szCs w:val="22"/>
          <w:shd w:val="clear" w:color="auto" w:fill="FFFFFF"/>
        </w:rPr>
        <w:t xml:space="preserve">en plus de celui du </w:t>
      </w:r>
      <w:r w:rsidR="003E1061">
        <w:rPr>
          <w:rFonts w:ascii="Arial" w:hAnsi="Arial"/>
          <w:sz w:val="22"/>
          <w:szCs w:val="22"/>
          <w:shd w:val="clear" w:color="auto" w:fill="FFFFFF"/>
        </w:rPr>
        <w:t>secteur des transports</w:t>
      </w:r>
      <w:r>
        <w:rPr>
          <w:rFonts w:ascii="Arial" w:hAnsi="Arial"/>
          <w:sz w:val="22"/>
          <w:szCs w:val="22"/>
          <w:shd w:val="clear" w:color="auto" w:fill="FFFFFF"/>
        </w:rPr>
        <w:t xml:space="preserve">. </w:t>
      </w:r>
    </w:p>
    <w:p w14:paraId="164E53B3" w14:textId="2D0B963E" w:rsidR="00AC49FA" w:rsidRDefault="00AC49FA" w:rsidP="00EB1B58">
      <w:pPr>
        <w:rPr>
          <w:rFonts w:ascii="Arial" w:hAnsi="Arial"/>
          <w:sz w:val="22"/>
          <w:szCs w:val="22"/>
          <w:shd w:val="clear" w:color="auto" w:fill="FFFFFF"/>
        </w:rPr>
      </w:pPr>
    </w:p>
    <w:p w14:paraId="07C8C529" w14:textId="77777777" w:rsidR="004272EE" w:rsidRPr="00E241A7" w:rsidRDefault="004272EE" w:rsidP="004272EE">
      <w:pPr>
        <w:jc w:val="center"/>
        <w:rPr>
          <w:rFonts w:ascii="Arial" w:eastAsia="Encode Sans" w:hAnsi="Arial" w:cs="Arial"/>
          <w:sz w:val="22"/>
          <w:szCs w:val="22"/>
        </w:rPr>
      </w:pPr>
      <w:r>
        <w:rPr>
          <w:rFonts w:ascii="Arial" w:hAnsi="Arial"/>
          <w:sz w:val="22"/>
          <w:szCs w:val="22"/>
        </w:rPr>
        <w:t># # #</w:t>
      </w:r>
    </w:p>
    <w:p w14:paraId="702CF53B" w14:textId="77777777" w:rsidR="004272EE" w:rsidRPr="004272EE" w:rsidRDefault="004272EE" w:rsidP="004272EE">
      <w:pPr>
        <w:rPr>
          <w:rFonts w:ascii="Arial" w:eastAsia="Times New Roman" w:hAnsi="Arial" w:cs="Arial"/>
          <w:sz w:val="22"/>
          <w:szCs w:val="22"/>
          <w:shd w:val="clear" w:color="auto" w:fill="FFFFFF"/>
        </w:rPr>
      </w:pPr>
    </w:p>
    <w:p w14:paraId="558ABB14" w14:textId="77777777" w:rsidR="004272EE" w:rsidRPr="004272EE" w:rsidRDefault="004272EE" w:rsidP="004272EE">
      <w:pPr>
        <w:spacing w:after="0"/>
        <w:rPr>
          <w:rFonts w:ascii="Arial" w:eastAsia="Times New Roman" w:hAnsi="Arial" w:cs="Arial"/>
          <w:b/>
          <w:bCs/>
          <w:sz w:val="20"/>
          <w:szCs w:val="20"/>
          <w:shd w:val="clear" w:color="auto" w:fill="FFFFFF"/>
        </w:rPr>
      </w:pPr>
      <w:r>
        <w:rPr>
          <w:rFonts w:ascii="Arial" w:hAnsi="Arial"/>
          <w:b/>
          <w:bCs/>
          <w:sz w:val="20"/>
          <w:szCs w:val="20"/>
          <w:shd w:val="clear" w:color="auto" w:fill="FFFFFF"/>
        </w:rPr>
        <w:t>À propos du Lyten 3D Graphene™</w:t>
      </w:r>
    </w:p>
    <w:p w14:paraId="4637BFA3" w14:textId="0F0EEE4F" w:rsidR="004272EE" w:rsidRDefault="004272EE" w:rsidP="004272EE">
      <w:pPr>
        <w:spacing w:after="0"/>
        <w:rPr>
          <w:rFonts w:ascii="Arial" w:eastAsia="Times New Roman" w:hAnsi="Arial" w:cs="Arial"/>
          <w:i/>
          <w:iCs/>
          <w:sz w:val="20"/>
          <w:szCs w:val="20"/>
          <w:shd w:val="clear" w:color="auto" w:fill="FFFFFF"/>
        </w:rPr>
      </w:pPr>
      <w:r>
        <w:rPr>
          <w:rFonts w:ascii="Arial" w:hAnsi="Arial"/>
          <w:i/>
          <w:iCs/>
          <w:sz w:val="20"/>
          <w:szCs w:val="20"/>
          <w:shd w:val="clear" w:color="auto" w:fill="FFFFFF"/>
        </w:rPr>
        <w:t xml:space="preserve">Le Lyten 3D Graphene™ est un super-matériau de décarbonation </w:t>
      </w:r>
      <w:r w:rsidR="005B1974">
        <w:rPr>
          <w:rFonts w:ascii="Arial" w:hAnsi="Arial"/>
          <w:i/>
          <w:iCs/>
          <w:sz w:val="20"/>
          <w:szCs w:val="20"/>
          <w:shd w:val="clear" w:color="auto" w:fill="FFFFFF"/>
        </w:rPr>
        <w:t xml:space="preserve">ajustable </w:t>
      </w:r>
      <w:r>
        <w:rPr>
          <w:rFonts w:ascii="Arial" w:hAnsi="Arial"/>
          <w:i/>
          <w:iCs/>
          <w:sz w:val="20"/>
          <w:szCs w:val="20"/>
          <w:shd w:val="clear" w:color="auto" w:fill="FFFFFF"/>
        </w:rPr>
        <w:t xml:space="preserve">et propriétaire, fabriqué à partir de gaz naturel. Le graphène 3D de Lyten est similaire au graphène en deux dimensions avec lequel il partage de nombreuses propriétés exceptionnelles, mais la réactivité chimique et électrique du graphène 3D peut être supérieure de plusieurs ordres de grandeur et ce matériau est aussi fortement </w:t>
      </w:r>
      <w:r w:rsidR="005B1974">
        <w:rPr>
          <w:rFonts w:ascii="Arial" w:hAnsi="Arial"/>
          <w:i/>
          <w:iCs/>
          <w:sz w:val="20"/>
          <w:szCs w:val="20"/>
          <w:shd w:val="clear" w:color="auto" w:fill="FFFFFF"/>
        </w:rPr>
        <w:t xml:space="preserve">ajustable </w:t>
      </w:r>
      <w:r>
        <w:rPr>
          <w:rFonts w:ascii="Arial" w:hAnsi="Arial"/>
          <w:i/>
          <w:iCs/>
          <w:sz w:val="20"/>
          <w:szCs w:val="20"/>
          <w:shd w:val="clear" w:color="auto" w:fill="FFFFFF"/>
        </w:rPr>
        <w:t>grâce à sa morphologie tridimensionnelle. Les procédés et l’équipement permettant de fabriquer des matériaux à base de graphène en trois dimensions sont des inventions technologiques propriétaires brevetées par Lyten. Lyten va faire évoluer l’échelle de production initiale de son établissement de San Jos</w:t>
      </w:r>
      <w:r w:rsidR="008275B9">
        <w:rPr>
          <w:rFonts w:ascii="Arial" w:hAnsi="Arial"/>
          <w:i/>
          <w:iCs/>
          <w:sz w:val="20"/>
          <w:szCs w:val="20"/>
          <w:shd w:val="clear" w:color="auto" w:fill="FFFFFF"/>
        </w:rPr>
        <w:t>é</w:t>
      </w:r>
      <w:r>
        <w:rPr>
          <w:rFonts w:ascii="Arial" w:hAnsi="Arial"/>
          <w:i/>
          <w:iCs/>
          <w:sz w:val="20"/>
          <w:szCs w:val="20"/>
          <w:shd w:val="clear" w:color="auto" w:fill="FFFFFF"/>
        </w:rPr>
        <w:t xml:space="preserve"> en Californie et étudiera bientôt des sites faire passer sa capacité de production au niveau supérieur.</w:t>
      </w:r>
    </w:p>
    <w:p w14:paraId="425A1573" w14:textId="77777777" w:rsidR="004272EE" w:rsidRPr="004272EE" w:rsidRDefault="004272EE" w:rsidP="004272EE">
      <w:pPr>
        <w:spacing w:after="0"/>
        <w:rPr>
          <w:rFonts w:ascii="Arial" w:eastAsia="Times New Roman" w:hAnsi="Arial" w:cs="Arial"/>
          <w:i/>
          <w:iCs/>
          <w:sz w:val="20"/>
          <w:szCs w:val="20"/>
          <w:shd w:val="clear" w:color="auto" w:fill="FFFFFF"/>
        </w:rPr>
      </w:pPr>
    </w:p>
    <w:p w14:paraId="63BFB418" w14:textId="02950844" w:rsidR="004272EE" w:rsidRPr="004272EE" w:rsidRDefault="004272EE" w:rsidP="004272EE">
      <w:pPr>
        <w:spacing w:after="0"/>
        <w:rPr>
          <w:rFonts w:ascii="Arial" w:eastAsia="Times New Roman" w:hAnsi="Arial" w:cs="Arial"/>
          <w:b/>
          <w:bCs/>
          <w:sz w:val="20"/>
          <w:szCs w:val="20"/>
          <w:shd w:val="clear" w:color="auto" w:fill="FFFFFF"/>
        </w:rPr>
      </w:pPr>
      <w:r>
        <w:rPr>
          <w:rFonts w:ascii="Arial" w:hAnsi="Arial"/>
          <w:b/>
          <w:bCs/>
          <w:sz w:val="20"/>
          <w:szCs w:val="20"/>
          <w:shd w:val="clear" w:color="auto" w:fill="FFFFFF"/>
        </w:rPr>
        <w:t xml:space="preserve">À propos de la batterie </w:t>
      </w:r>
      <w:r w:rsidR="00166720">
        <w:rPr>
          <w:rFonts w:ascii="Arial" w:hAnsi="Arial"/>
          <w:b/>
          <w:bCs/>
          <w:sz w:val="20"/>
          <w:szCs w:val="20"/>
          <w:shd w:val="clear" w:color="auto" w:fill="FFFFFF"/>
        </w:rPr>
        <w:t>L</w:t>
      </w:r>
      <w:r>
        <w:rPr>
          <w:rFonts w:ascii="Arial" w:hAnsi="Arial"/>
          <w:b/>
          <w:bCs/>
          <w:sz w:val="20"/>
          <w:szCs w:val="20"/>
          <w:shd w:val="clear" w:color="auto" w:fill="FFFFFF"/>
        </w:rPr>
        <w:t>ithium-</w:t>
      </w:r>
      <w:r w:rsidR="00166720">
        <w:rPr>
          <w:rFonts w:ascii="Arial" w:hAnsi="Arial"/>
          <w:b/>
          <w:bCs/>
          <w:sz w:val="20"/>
          <w:szCs w:val="20"/>
          <w:shd w:val="clear" w:color="auto" w:fill="FFFFFF"/>
        </w:rPr>
        <w:t>S</w:t>
      </w:r>
      <w:r>
        <w:rPr>
          <w:rFonts w:ascii="Arial" w:hAnsi="Arial"/>
          <w:b/>
          <w:bCs/>
          <w:sz w:val="20"/>
          <w:szCs w:val="20"/>
          <w:shd w:val="clear" w:color="auto" w:fill="FFFFFF"/>
        </w:rPr>
        <w:t>oufre LytCell EV™</w:t>
      </w:r>
    </w:p>
    <w:p w14:paraId="4C6CDB6D" w14:textId="0B62515A" w:rsidR="004272EE" w:rsidRDefault="004272EE" w:rsidP="004272EE">
      <w:pPr>
        <w:spacing w:after="0"/>
        <w:rPr>
          <w:rFonts w:ascii="Arial" w:eastAsia="Times New Roman" w:hAnsi="Arial" w:cs="Arial"/>
          <w:i/>
          <w:iCs/>
          <w:sz w:val="20"/>
          <w:szCs w:val="20"/>
          <w:shd w:val="clear" w:color="auto" w:fill="FFFFFF"/>
        </w:rPr>
      </w:pPr>
      <w:r>
        <w:rPr>
          <w:rFonts w:ascii="Arial" w:hAnsi="Arial"/>
          <w:i/>
          <w:iCs/>
          <w:sz w:val="20"/>
          <w:szCs w:val="20"/>
          <w:shd w:val="clear" w:color="auto" w:fill="FFFFFF"/>
        </w:rPr>
        <w:t xml:space="preserve">LytCell™ est la batterie </w:t>
      </w:r>
      <w:r w:rsidR="00267C1F">
        <w:rPr>
          <w:rFonts w:ascii="Arial" w:hAnsi="Arial"/>
          <w:i/>
          <w:iCs/>
          <w:sz w:val="20"/>
          <w:szCs w:val="20"/>
          <w:shd w:val="clear" w:color="auto" w:fill="FFFFFF"/>
        </w:rPr>
        <w:t>Lithium-Soufre</w:t>
      </w:r>
      <w:r>
        <w:rPr>
          <w:rFonts w:ascii="Arial" w:hAnsi="Arial"/>
          <w:i/>
          <w:iCs/>
          <w:sz w:val="20"/>
          <w:szCs w:val="20"/>
          <w:shd w:val="clear" w:color="auto" w:fill="FFFFFF"/>
        </w:rPr>
        <w:t xml:space="preserve"> propriétaire de Lyten qui utilise le Lyten 3D Graphene™ pour résoudre les problèmes de formation de polysulfures et d’effet navette associés au soufre, ce qui permettra d’obtenir une batterie plus performante qui aura plus de deux fois la densité énergétique des batteries </w:t>
      </w:r>
      <w:r w:rsidR="008275B9">
        <w:rPr>
          <w:rFonts w:ascii="Arial" w:hAnsi="Arial"/>
          <w:i/>
          <w:iCs/>
          <w:sz w:val="20"/>
          <w:szCs w:val="20"/>
          <w:shd w:val="clear" w:color="auto" w:fill="FFFFFF"/>
        </w:rPr>
        <w:t xml:space="preserve">des véhicules électriques </w:t>
      </w:r>
      <w:r>
        <w:rPr>
          <w:rFonts w:ascii="Arial" w:hAnsi="Arial"/>
          <w:i/>
          <w:iCs/>
          <w:sz w:val="20"/>
          <w:szCs w:val="20"/>
          <w:shd w:val="clear" w:color="auto" w:fill="FFFFFF"/>
        </w:rPr>
        <w:t xml:space="preserve">classiques et sera à l’origine d’une autonomie de conduite supérieure. Contrairement aux batteries </w:t>
      </w:r>
      <w:r w:rsidR="00267C1F">
        <w:rPr>
          <w:rFonts w:ascii="Arial" w:hAnsi="Arial"/>
          <w:i/>
          <w:iCs/>
          <w:sz w:val="20"/>
          <w:szCs w:val="20"/>
          <w:shd w:val="clear" w:color="auto" w:fill="FFFFFF"/>
        </w:rPr>
        <w:t>Lithium-Ion</w:t>
      </w:r>
      <w:r>
        <w:rPr>
          <w:rFonts w:ascii="Arial" w:hAnsi="Arial"/>
          <w:i/>
          <w:iCs/>
          <w:sz w:val="20"/>
          <w:szCs w:val="20"/>
          <w:shd w:val="clear" w:color="auto" w:fill="FFFFFF"/>
        </w:rPr>
        <w:t xml:space="preserve"> et à l’état solide, les batteries LytCell™ n’utilisent ni nickel ni cobalt, qui sont des métaux rares et chers, et elles auront une empreinte carbone estimée plus de 60 % plus basse que les batteries </w:t>
      </w:r>
      <w:r w:rsidR="00267C1F">
        <w:rPr>
          <w:rFonts w:ascii="Arial" w:hAnsi="Arial"/>
          <w:i/>
          <w:iCs/>
          <w:sz w:val="20"/>
          <w:szCs w:val="20"/>
          <w:shd w:val="clear" w:color="auto" w:fill="FFFFFF"/>
        </w:rPr>
        <w:t>Lithium-Ion</w:t>
      </w:r>
      <w:r>
        <w:rPr>
          <w:rFonts w:ascii="Arial" w:hAnsi="Arial"/>
          <w:i/>
          <w:iCs/>
          <w:sz w:val="20"/>
          <w:szCs w:val="20"/>
          <w:shd w:val="clear" w:color="auto" w:fill="FFFFFF"/>
        </w:rPr>
        <w:t xml:space="preserve"> et 40 % plus basse que les batteries à l’état solide. La batterie LytCell sera produite à partir de matières premières provenant de ressources nationales et durables, ce qui permettra aux constructeurs et aux consommateurs de s’affranchir des risques de la chaîne d’approvisionnement et des problèmes liés à l’extraction minière bien peu respectueuse de l’environnement de matériaux tels que les oxydes de nickel, de manganèse et de cobalt (NMC).</w:t>
      </w:r>
    </w:p>
    <w:p w14:paraId="32153571" w14:textId="77777777" w:rsidR="004272EE" w:rsidRPr="004272EE" w:rsidRDefault="004272EE" w:rsidP="004272EE">
      <w:pPr>
        <w:spacing w:after="0"/>
        <w:rPr>
          <w:rFonts w:ascii="Arial" w:eastAsia="Times New Roman" w:hAnsi="Arial" w:cs="Arial"/>
          <w:i/>
          <w:iCs/>
          <w:sz w:val="20"/>
          <w:szCs w:val="20"/>
          <w:shd w:val="clear" w:color="auto" w:fill="FFFFFF"/>
        </w:rPr>
      </w:pPr>
    </w:p>
    <w:p w14:paraId="3E2A8193" w14:textId="77777777" w:rsidR="004272EE" w:rsidRPr="004272EE" w:rsidRDefault="004272EE" w:rsidP="004272EE">
      <w:pPr>
        <w:spacing w:after="0"/>
        <w:rPr>
          <w:rFonts w:ascii="Arial" w:eastAsia="Times New Roman" w:hAnsi="Arial" w:cs="Arial"/>
          <w:b/>
          <w:bCs/>
          <w:sz w:val="20"/>
          <w:szCs w:val="20"/>
          <w:shd w:val="clear" w:color="auto" w:fill="FFFFFF"/>
        </w:rPr>
      </w:pPr>
      <w:r>
        <w:rPr>
          <w:rFonts w:ascii="Arial" w:hAnsi="Arial"/>
          <w:b/>
          <w:bCs/>
          <w:sz w:val="20"/>
          <w:szCs w:val="20"/>
          <w:shd w:val="clear" w:color="auto" w:fill="FFFFFF"/>
        </w:rPr>
        <w:t>À propos du LytR™</w:t>
      </w:r>
    </w:p>
    <w:p w14:paraId="7FB9B16D" w14:textId="72AFFC7A" w:rsidR="004272EE" w:rsidRDefault="004272EE" w:rsidP="004272EE">
      <w:pPr>
        <w:spacing w:after="0"/>
        <w:rPr>
          <w:rFonts w:ascii="Arial" w:eastAsia="Times New Roman" w:hAnsi="Arial" w:cs="Arial"/>
          <w:i/>
          <w:iCs/>
          <w:sz w:val="20"/>
          <w:szCs w:val="20"/>
          <w:shd w:val="clear" w:color="auto" w:fill="FFFFFF"/>
        </w:rPr>
      </w:pPr>
      <w:r>
        <w:rPr>
          <w:rFonts w:ascii="Arial" w:hAnsi="Arial"/>
          <w:i/>
          <w:iCs/>
          <w:sz w:val="20"/>
          <w:szCs w:val="20"/>
          <w:shd w:val="clear" w:color="auto" w:fill="FFFFFF"/>
        </w:rPr>
        <w:t xml:space="preserve">LytR™ est la formulation thermoplastique unique de Lyten – infusée de Lyten 3D Graphene™ – qui réduit de jusqu’à 50 % le poids et les matériaux requis tout en maintenant ou en améliorant la résistance et la performance. Quand le Lyten 3D Graphene™ est accordé pour sa dispersion dans du polyéthylène, comme dans le cas du matériau LytR™, il renforce considérablement les propriétés chimiques et physiques du thermoplastique obtenu, ce qui permet d’employer moins de polyéthylène et de réduire l’empreinte carbone de jusqu’à 55 %. </w:t>
      </w:r>
    </w:p>
    <w:p w14:paraId="6475B8A6" w14:textId="77777777" w:rsidR="004272EE" w:rsidRPr="004272EE" w:rsidRDefault="004272EE" w:rsidP="004272EE">
      <w:pPr>
        <w:spacing w:after="0"/>
        <w:rPr>
          <w:rFonts w:ascii="Arial" w:eastAsia="Times New Roman" w:hAnsi="Arial" w:cs="Arial"/>
          <w:i/>
          <w:iCs/>
          <w:sz w:val="20"/>
          <w:szCs w:val="20"/>
          <w:shd w:val="clear" w:color="auto" w:fill="FFFFFF"/>
        </w:rPr>
      </w:pPr>
    </w:p>
    <w:p w14:paraId="11D89850" w14:textId="77777777" w:rsidR="004272EE" w:rsidRPr="004272EE" w:rsidRDefault="004272EE" w:rsidP="004272EE">
      <w:pPr>
        <w:spacing w:after="0"/>
        <w:rPr>
          <w:rFonts w:ascii="Arial" w:eastAsia="Times New Roman" w:hAnsi="Arial" w:cs="Arial"/>
          <w:b/>
          <w:bCs/>
          <w:sz w:val="20"/>
          <w:szCs w:val="20"/>
          <w:shd w:val="clear" w:color="auto" w:fill="FFFFFF"/>
        </w:rPr>
      </w:pPr>
      <w:r>
        <w:rPr>
          <w:rFonts w:ascii="Arial" w:hAnsi="Arial"/>
          <w:b/>
          <w:bCs/>
          <w:sz w:val="20"/>
          <w:szCs w:val="20"/>
          <w:shd w:val="clear" w:color="auto" w:fill="FFFFFF"/>
        </w:rPr>
        <w:t>À propos de Lyten</w:t>
      </w:r>
    </w:p>
    <w:p w14:paraId="3D57F653" w14:textId="55D7A26A" w:rsidR="004272EE" w:rsidRPr="004272EE" w:rsidRDefault="004272EE" w:rsidP="004272EE">
      <w:pPr>
        <w:spacing w:after="0"/>
        <w:rPr>
          <w:rFonts w:ascii="Arial" w:eastAsia="Times New Roman" w:hAnsi="Arial" w:cs="Arial"/>
          <w:i/>
          <w:iCs/>
          <w:sz w:val="20"/>
          <w:szCs w:val="20"/>
          <w:shd w:val="clear" w:color="auto" w:fill="FFFFFF"/>
        </w:rPr>
      </w:pPr>
      <w:r>
        <w:rPr>
          <w:rFonts w:ascii="Arial" w:hAnsi="Arial"/>
          <w:i/>
          <w:iCs/>
          <w:sz w:val="20"/>
          <w:szCs w:val="20"/>
          <w:shd w:val="clear" w:color="auto" w:fill="FFFFFF"/>
        </w:rPr>
        <w:t xml:space="preserve">Lyten est une entreprise qui se consacre à l’innovation et aux applications dans le domaine des matériaux, et le pionnier de la plateforme de matériaux Lyten 3D Graphene™. Les super matériaux de décarbonation de Lyten sont actuellement accordés pour une vaste gamme d’applications, y compris les batteries </w:t>
      </w:r>
      <w:r w:rsidR="00267C1F">
        <w:rPr>
          <w:rFonts w:ascii="Arial" w:hAnsi="Arial"/>
          <w:i/>
          <w:iCs/>
          <w:sz w:val="20"/>
          <w:szCs w:val="20"/>
          <w:shd w:val="clear" w:color="auto" w:fill="FFFFFF"/>
        </w:rPr>
        <w:t>Lithium-Soufre</w:t>
      </w:r>
      <w:r>
        <w:rPr>
          <w:rFonts w:ascii="Arial" w:hAnsi="Arial"/>
          <w:i/>
          <w:iCs/>
          <w:sz w:val="20"/>
          <w:szCs w:val="20"/>
          <w:shd w:val="clear" w:color="auto" w:fill="FFFFFF"/>
        </w:rPr>
        <w:t xml:space="preserve"> de nouvelle génération destinées à l’automobile, l’aérospatiale, la défense et d’autre marchés, un composite polymère de nouvelle génération, le LytR™, qui permet de réduire la quantité de plastique utilisée de jusqu’à 50 % tout en maintenant la résistance structurale et aux impacts ; et des réseaux de capteurs de nouvelle génération qui augmentent considérablement la sensibilité et la sélectivité de la détection et sont destinés aux applications automobiles, industrielles, de santé et de sécurité. </w:t>
      </w:r>
    </w:p>
    <w:p w14:paraId="7291B002" w14:textId="3BD6AF5E" w:rsidR="008275B9" w:rsidRDefault="004272EE" w:rsidP="004272EE">
      <w:pPr>
        <w:spacing w:after="0"/>
        <w:rPr>
          <w:rFonts w:ascii="Arial" w:hAnsi="Arial"/>
          <w:i/>
          <w:iCs/>
          <w:sz w:val="20"/>
          <w:szCs w:val="20"/>
          <w:shd w:val="clear" w:color="auto" w:fill="FFFFFF"/>
        </w:rPr>
      </w:pPr>
      <w:r>
        <w:rPr>
          <w:rFonts w:ascii="Arial" w:hAnsi="Arial"/>
          <w:i/>
          <w:iCs/>
          <w:sz w:val="20"/>
          <w:szCs w:val="20"/>
          <w:shd w:val="clear" w:color="auto" w:fill="FFFFFF"/>
        </w:rPr>
        <w:t>Lyten est pilotée par un groupe de dirigeants expérimentés venus de l’automobile, de l’énergie, des batteries, des semi-conducteurs, de la fabrication et de la défense, a à son actif plus de 300 brevets, déposés ou en instance, et fabrique actuellement le matériau Lyten 3D Graphene, ainsi que ses batteries EV LytCell™ à San Jose, en Californie. Lyten, a été fondée en 2015. Pour le dossier de presse : lyten.com/media-kit/</w:t>
      </w:r>
    </w:p>
    <w:p w14:paraId="36128623" w14:textId="77777777" w:rsidR="008275B9" w:rsidRDefault="008275B9">
      <w:pPr>
        <w:rPr>
          <w:rFonts w:ascii="Arial" w:hAnsi="Arial"/>
          <w:i/>
          <w:iCs/>
          <w:sz w:val="20"/>
          <w:szCs w:val="20"/>
          <w:shd w:val="clear" w:color="auto" w:fill="FFFFFF"/>
        </w:rPr>
      </w:pPr>
      <w:r>
        <w:rPr>
          <w:rFonts w:ascii="Arial" w:hAnsi="Arial"/>
          <w:i/>
          <w:iCs/>
          <w:sz w:val="20"/>
          <w:szCs w:val="20"/>
          <w:shd w:val="clear" w:color="auto" w:fill="FFFFFF"/>
        </w:rPr>
        <w:br w:type="page"/>
      </w:r>
    </w:p>
    <w:p w14:paraId="5A1A1F1B" w14:textId="77777777" w:rsidR="004272EE" w:rsidRPr="004272EE" w:rsidRDefault="004272EE" w:rsidP="004272EE">
      <w:pPr>
        <w:spacing w:after="0"/>
        <w:rPr>
          <w:rFonts w:ascii="Arial" w:eastAsia="Times New Roman" w:hAnsi="Arial" w:cs="Arial"/>
          <w:b/>
          <w:bCs/>
          <w:sz w:val="20"/>
          <w:szCs w:val="20"/>
          <w:shd w:val="clear" w:color="auto" w:fill="FFFFFF"/>
        </w:rPr>
      </w:pPr>
      <w:r>
        <w:rPr>
          <w:rFonts w:ascii="Arial" w:hAnsi="Arial"/>
          <w:b/>
          <w:bCs/>
          <w:sz w:val="20"/>
          <w:szCs w:val="20"/>
          <w:shd w:val="clear" w:color="auto" w:fill="FFFFFF"/>
        </w:rPr>
        <w:lastRenderedPageBreak/>
        <w:t>À propos de Stellantis Ventures</w:t>
      </w:r>
    </w:p>
    <w:p w14:paraId="42528525" w14:textId="02D41F4C" w:rsidR="00166720" w:rsidRPr="00A336CD" w:rsidRDefault="00166720" w:rsidP="00A336CD">
      <w:pPr>
        <w:spacing w:after="0"/>
        <w:rPr>
          <w:rFonts w:ascii="Arial" w:hAnsi="Arial"/>
          <w:i/>
          <w:iCs/>
          <w:sz w:val="20"/>
          <w:szCs w:val="20"/>
          <w:shd w:val="clear" w:color="auto" w:fill="FFFFFF"/>
        </w:rPr>
      </w:pPr>
      <w:r w:rsidRPr="00A336CD">
        <w:rPr>
          <w:rFonts w:ascii="Arial" w:hAnsi="Arial"/>
          <w:i/>
          <w:iCs/>
          <w:sz w:val="20"/>
          <w:szCs w:val="20"/>
          <w:shd w:val="clear" w:color="auto" w:fill="FFFFFF"/>
        </w:rPr>
        <w:t>Créé avec un investissement initial de 300 millions d’euros, Stellantis Venture est le premier fonds de capital-risque de Stellantis. Il cible des start</w:t>
      </w:r>
      <w:r w:rsidR="004B395A">
        <w:rPr>
          <w:rFonts w:ascii="Arial" w:hAnsi="Arial"/>
          <w:i/>
          <w:iCs/>
          <w:sz w:val="20"/>
          <w:szCs w:val="20"/>
          <w:shd w:val="clear" w:color="auto" w:fill="FFFFFF"/>
        </w:rPr>
        <w:t>-</w:t>
      </w:r>
      <w:r w:rsidRPr="00A336CD">
        <w:rPr>
          <w:rFonts w:ascii="Arial" w:hAnsi="Arial"/>
          <w:i/>
          <w:iCs/>
          <w:sz w:val="20"/>
          <w:szCs w:val="20"/>
          <w:shd w:val="clear" w:color="auto" w:fill="FFFFFF"/>
        </w:rPr>
        <w:t xml:space="preserve">ups développant des technologies de pointe pour les secteurs de l’automobile et de la mobilité, et apportant une véritable valeur ajoutée pour les clients particuliers et la société dans son ensemble. Le fonds a un double mandat unique qui requiert que les entreprises de son portefeuille aient des perspectives de croissance durable et forte ainsi qu’un haut potentiel d’adoption technologique au sein des produits et des activités de Stellantis. Soutenu par un des premiers constructeurs automobiles et fournisseurs de mobilité au monde, Stellantis Ventures est particulièrement bien placé pour créer rapidement et efficacement de la valeur pour les </w:t>
      </w:r>
      <w:r w:rsidRPr="00166720">
        <w:rPr>
          <w:rFonts w:ascii="Arial" w:hAnsi="Arial"/>
          <w:i/>
          <w:iCs/>
          <w:sz w:val="20"/>
          <w:szCs w:val="20"/>
          <w:shd w:val="clear" w:color="auto" w:fill="FFFFFF"/>
        </w:rPr>
        <w:t>investissements de</w:t>
      </w:r>
      <w:r w:rsidRPr="00A336CD">
        <w:rPr>
          <w:rFonts w:ascii="Arial" w:hAnsi="Arial"/>
          <w:i/>
          <w:iCs/>
          <w:sz w:val="20"/>
          <w:szCs w:val="20"/>
          <w:shd w:val="clear" w:color="auto" w:fill="FFFFFF"/>
        </w:rPr>
        <w:t xml:space="preserve"> son portefeuille.</w:t>
      </w:r>
    </w:p>
    <w:p w14:paraId="6109BA28" w14:textId="77777777" w:rsidR="00166720" w:rsidRDefault="00166720" w:rsidP="00166720">
      <w:pPr>
        <w:spacing w:after="0"/>
        <w:rPr>
          <w:rFonts w:ascii="Arial" w:eastAsia="Times New Roman" w:hAnsi="Arial" w:cs="Arial"/>
          <w:i/>
          <w:iCs/>
          <w:sz w:val="20"/>
          <w:szCs w:val="20"/>
          <w:shd w:val="clear" w:color="auto" w:fill="FFFFFF"/>
        </w:rPr>
      </w:pPr>
    </w:p>
    <w:p w14:paraId="525C1508" w14:textId="77777777" w:rsidR="004272EE" w:rsidRPr="004272EE" w:rsidRDefault="004272EE" w:rsidP="00166720">
      <w:pPr>
        <w:spacing w:after="0"/>
        <w:rPr>
          <w:rFonts w:ascii="Arial" w:eastAsia="Times New Roman" w:hAnsi="Arial" w:cs="Arial"/>
          <w:i/>
          <w:iCs/>
          <w:sz w:val="20"/>
          <w:szCs w:val="20"/>
          <w:shd w:val="clear" w:color="auto" w:fill="FFFFFF"/>
        </w:rPr>
      </w:pPr>
    </w:p>
    <w:p w14:paraId="47CF30ED" w14:textId="77777777" w:rsidR="004272EE" w:rsidRPr="004272EE" w:rsidRDefault="004272EE" w:rsidP="00166720">
      <w:pPr>
        <w:spacing w:after="0"/>
        <w:rPr>
          <w:rFonts w:ascii="Arial" w:eastAsia="Times New Roman" w:hAnsi="Arial" w:cs="Arial"/>
          <w:b/>
          <w:bCs/>
          <w:sz w:val="20"/>
          <w:szCs w:val="20"/>
        </w:rPr>
      </w:pPr>
      <w:r>
        <w:rPr>
          <w:rFonts w:ascii="Arial" w:hAnsi="Arial"/>
          <w:b/>
          <w:bCs/>
          <w:sz w:val="20"/>
          <w:szCs w:val="20"/>
        </w:rPr>
        <w:t>À propos de Stellantis</w:t>
      </w:r>
    </w:p>
    <w:p w14:paraId="7294E11E" w14:textId="77777777" w:rsidR="004272EE" w:rsidRPr="004272EE" w:rsidRDefault="004272EE" w:rsidP="00A336CD">
      <w:pPr>
        <w:pBdr>
          <w:top w:val="nil"/>
          <w:left w:val="nil"/>
          <w:bottom w:val="nil"/>
          <w:right w:val="nil"/>
          <w:between w:val="nil"/>
        </w:pBdr>
        <w:spacing w:after="0"/>
        <w:rPr>
          <w:rFonts w:ascii="Arial" w:eastAsia="Arial" w:hAnsi="Arial" w:cs="Arial"/>
          <w:iCs/>
          <w:color w:val="000000"/>
          <w:sz w:val="20"/>
          <w:szCs w:val="20"/>
        </w:rPr>
      </w:pPr>
      <w:r>
        <w:rPr>
          <w:rFonts w:ascii="Arial" w:hAnsi="Arial"/>
          <w:i/>
          <w:iCs/>
          <w:sz w:val="20"/>
          <w:szCs w:val="20"/>
        </w:rPr>
        <w:t>Stellantis N.V. (NYSE : STLA / Euronext Milan : STLAM / Euronext Paris : STLAP)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www.stellantis.com.</w:t>
      </w:r>
    </w:p>
    <w:p w14:paraId="7A26DAA1" w14:textId="77777777" w:rsidR="00DF3488" w:rsidRPr="00E241A7" w:rsidRDefault="00DF3488" w:rsidP="00DF3488">
      <w:pPr>
        <w:spacing w:after="0"/>
        <w:jc w:val="left"/>
        <w:rPr>
          <w:rFonts w:ascii="Arial" w:eastAsia="Arial" w:hAnsi="Arial" w:cs="Arial"/>
          <w:b/>
          <w:sz w:val="22"/>
          <w:szCs w:val="22"/>
        </w:rPr>
      </w:pPr>
    </w:p>
    <w:p w14:paraId="09667F5E" w14:textId="4A31A91B" w:rsidR="00211BDA" w:rsidRPr="00E241A7" w:rsidRDefault="00211BDA" w:rsidP="00211BDA">
      <w:pPr>
        <w:spacing w:after="0"/>
        <w:rPr>
          <w:rFonts w:ascii="Arial" w:eastAsia="Arial" w:hAnsi="Arial" w:cs="Arial"/>
          <w:b/>
          <w:sz w:val="22"/>
          <w:szCs w:val="22"/>
        </w:rPr>
      </w:pPr>
      <w:r>
        <w:rPr>
          <w:rFonts w:ascii="Arial" w:hAnsi="Arial"/>
          <w:b/>
          <w:sz w:val="22"/>
          <w:szCs w:val="22"/>
        </w:rPr>
        <w:t>Contacts :</w:t>
      </w:r>
    </w:p>
    <w:p w14:paraId="3C30E1AF" w14:textId="77777777" w:rsidR="00211BDA" w:rsidRPr="00E241A7" w:rsidRDefault="00211BDA" w:rsidP="00211BDA">
      <w:pPr>
        <w:spacing w:after="0"/>
        <w:rPr>
          <w:rFonts w:ascii="Arial" w:eastAsiaTheme="minorEastAsia" w:hAnsi="Arial" w:cs="Arial"/>
          <w:sz w:val="22"/>
          <w:szCs w:val="22"/>
        </w:rPr>
      </w:pPr>
    </w:p>
    <w:p w14:paraId="7ED2C733" w14:textId="77777777" w:rsidR="00211BDA" w:rsidRPr="00E241A7" w:rsidRDefault="00211BDA" w:rsidP="00211BDA">
      <w:pPr>
        <w:spacing w:after="0"/>
        <w:rPr>
          <w:rFonts w:ascii="Arial" w:hAnsi="Arial" w:cs="Arial"/>
          <w:b/>
          <w:bCs/>
          <w:sz w:val="22"/>
          <w:szCs w:val="22"/>
        </w:rPr>
      </w:pPr>
      <w:bookmarkStart w:id="0" w:name="_Hlk115941120"/>
      <w:r>
        <w:rPr>
          <w:rFonts w:ascii="Arial" w:hAnsi="Arial"/>
          <w:b/>
          <w:bCs/>
          <w:sz w:val="22"/>
          <w:szCs w:val="22"/>
        </w:rPr>
        <w:t>Stellantis</w:t>
      </w:r>
    </w:p>
    <w:p w14:paraId="7730F5DF" w14:textId="77777777" w:rsidR="00211BDA" w:rsidRPr="00E241A7" w:rsidRDefault="00211BDA" w:rsidP="00211BDA">
      <w:pPr>
        <w:spacing w:after="0"/>
        <w:rPr>
          <w:rFonts w:ascii="Arial" w:hAnsi="Arial" w:cs="Arial"/>
          <w:sz w:val="22"/>
          <w:szCs w:val="22"/>
        </w:rPr>
      </w:pPr>
    </w:p>
    <w:p w14:paraId="2C556014" w14:textId="77777777" w:rsidR="00211BDA" w:rsidRPr="0058020B" w:rsidRDefault="00211BDA" w:rsidP="00211BDA">
      <w:pPr>
        <w:tabs>
          <w:tab w:val="left" w:pos="2592"/>
        </w:tabs>
        <w:spacing w:after="0"/>
        <w:rPr>
          <w:rFonts w:ascii="Arial" w:eastAsia="Arial" w:hAnsi="Arial" w:cs="Arial"/>
          <w:b/>
          <w:bCs/>
          <w:sz w:val="18"/>
          <w:szCs w:val="18"/>
        </w:rPr>
      </w:pPr>
      <w:r>
        <w:rPr>
          <w:rFonts w:ascii="Arial" w:hAnsi="Arial"/>
          <w:b/>
          <w:bCs/>
          <w:sz w:val="18"/>
          <w:szCs w:val="18"/>
        </w:rPr>
        <w:t xml:space="preserve">Fernão Silveira </w:t>
      </w:r>
    </w:p>
    <w:p w14:paraId="6253A0AD" w14:textId="77777777" w:rsidR="00211BDA" w:rsidRPr="00767DB2" w:rsidRDefault="00211BDA" w:rsidP="00211BDA">
      <w:pPr>
        <w:tabs>
          <w:tab w:val="left" w:pos="2592"/>
        </w:tabs>
        <w:spacing w:after="0"/>
        <w:rPr>
          <w:rFonts w:ascii="Arial" w:eastAsia="Arial" w:hAnsi="Arial" w:cs="Arial"/>
          <w:sz w:val="18"/>
          <w:szCs w:val="18"/>
          <w:lang w:val="en-US"/>
        </w:rPr>
      </w:pPr>
      <w:r w:rsidRPr="00767DB2">
        <w:rPr>
          <w:rFonts w:ascii="Arial" w:hAnsi="Arial"/>
          <w:sz w:val="18"/>
          <w:szCs w:val="18"/>
          <w:lang w:val="en-US"/>
        </w:rPr>
        <w:t>Global Communications / Stellantis</w:t>
      </w:r>
    </w:p>
    <w:p w14:paraId="367451AF" w14:textId="77777777" w:rsidR="008E1ACE" w:rsidRPr="00767DB2" w:rsidRDefault="008E1ACE" w:rsidP="00211BDA">
      <w:pPr>
        <w:tabs>
          <w:tab w:val="left" w:pos="2592"/>
        </w:tabs>
        <w:spacing w:after="0"/>
        <w:rPr>
          <w:rFonts w:ascii="Arial" w:eastAsia="Arial" w:hAnsi="Arial" w:cs="Arial"/>
          <w:sz w:val="18"/>
          <w:szCs w:val="18"/>
          <w:lang w:val="en-US"/>
        </w:rPr>
      </w:pPr>
      <w:r w:rsidRPr="00767DB2">
        <w:rPr>
          <w:rFonts w:ascii="Arial" w:hAnsi="Arial"/>
          <w:sz w:val="18"/>
          <w:szCs w:val="18"/>
          <w:lang w:val="en-US"/>
        </w:rPr>
        <w:t>+31 6 43 25 43 41</w:t>
      </w:r>
    </w:p>
    <w:p w14:paraId="3D47FCA4" w14:textId="2471A283" w:rsidR="00211BDA" w:rsidRPr="00767DB2" w:rsidRDefault="00211BDA" w:rsidP="00211BDA">
      <w:pPr>
        <w:tabs>
          <w:tab w:val="left" w:pos="2592"/>
        </w:tabs>
        <w:spacing w:after="0"/>
        <w:rPr>
          <w:rFonts w:ascii="Arial" w:eastAsia="Arial" w:hAnsi="Arial" w:cs="Arial"/>
          <w:sz w:val="18"/>
          <w:szCs w:val="18"/>
          <w:lang w:val="en-US"/>
        </w:rPr>
      </w:pPr>
      <w:r w:rsidRPr="00767DB2">
        <w:rPr>
          <w:rFonts w:ascii="Arial" w:hAnsi="Arial"/>
          <w:sz w:val="18"/>
          <w:szCs w:val="18"/>
          <w:lang w:val="en-US"/>
        </w:rPr>
        <w:t xml:space="preserve">fernao.silveira@stellantis.com </w:t>
      </w:r>
    </w:p>
    <w:bookmarkEnd w:id="0"/>
    <w:p w14:paraId="6FA374A1" w14:textId="77777777" w:rsidR="00D013CE" w:rsidRPr="00767DB2" w:rsidRDefault="00D013CE" w:rsidP="00D013CE">
      <w:pPr>
        <w:tabs>
          <w:tab w:val="left" w:pos="2592"/>
        </w:tabs>
        <w:spacing w:after="0"/>
        <w:rPr>
          <w:rFonts w:ascii="Arial" w:eastAsia="Arial" w:hAnsi="Arial" w:cs="Arial"/>
          <w:b/>
          <w:bCs/>
          <w:sz w:val="22"/>
          <w:szCs w:val="22"/>
          <w:lang w:val="en-US"/>
        </w:rPr>
      </w:pPr>
    </w:p>
    <w:p w14:paraId="62FF7A91" w14:textId="77777777" w:rsidR="00B07E73" w:rsidRPr="00767DB2" w:rsidRDefault="00B07E73" w:rsidP="00211BDA">
      <w:pPr>
        <w:tabs>
          <w:tab w:val="left" w:pos="2592"/>
        </w:tabs>
        <w:spacing w:after="0"/>
        <w:rPr>
          <w:rFonts w:ascii="Arial" w:eastAsia="Arial" w:hAnsi="Arial" w:cs="Arial"/>
          <w:b/>
          <w:bCs/>
          <w:sz w:val="22"/>
          <w:szCs w:val="22"/>
          <w:lang w:val="en-US"/>
        </w:rPr>
      </w:pPr>
    </w:p>
    <w:p w14:paraId="34853F97" w14:textId="5676BAE9" w:rsidR="00C202F5" w:rsidRPr="00767DB2" w:rsidRDefault="004272EE" w:rsidP="00211BDA">
      <w:pPr>
        <w:tabs>
          <w:tab w:val="left" w:pos="2592"/>
        </w:tabs>
        <w:spacing w:after="0"/>
        <w:rPr>
          <w:rFonts w:ascii="Arial" w:eastAsia="Arial" w:hAnsi="Arial" w:cs="Arial"/>
          <w:b/>
          <w:bCs/>
          <w:sz w:val="22"/>
          <w:szCs w:val="22"/>
          <w:lang w:val="en-US"/>
        </w:rPr>
      </w:pPr>
      <w:r w:rsidRPr="00767DB2">
        <w:rPr>
          <w:rFonts w:ascii="Arial" w:hAnsi="Arial"/>
          <w:b/>
          <w:bCs/>
          <w:sz w:val="22"/>
          <w:szCs w:val="22"/>
          <w:lang w:val="en-US"/>
        </w:rPr>
        <w:t>Lyten</w:t>
      </w:r>
    </w:p>
    <w:p w14:paraId="791A6BA4" w14:textId="77777777" w:rsidR="00D013CE" w:rsidRPr="00767DB2" w:rsidRDefault="00D013CE" w:rsidP="00D013CE">
      <w:pPr>
        <w:tabs>
          <w:tab w:val="left" w:pos="2592"/>
        </w:tabs>
        <w:spacing w:after="0"/>
        <w:rPr>
          <w:rFonts w:ascii="Arial" w:eastAsia="Arial" w:hAnsi="Arial" w:cs="Arial"/>
          <w:b/>
          <w:bCs/>
          <w:sz w:val="22"/>
          <w:szCs w:val="22"/>
          <w:lang w:val="en-US"/>
        </w:rPr>
      </w:pPr>
    </w:p>
    <w:p w14:paraId="6C5B2C40" w14:textId="77777777" w:rsidR="006E6EC6" w:rsidRPr="00767DB2" w:rsidRDefault="006E6EC6" w:rsidP="006E6EC6">
      <w:pPr>
        <w:tabs>
          <w:tab w:val="left" w:pos="2592"/>
        </w:tabs>
        <w:spacing w:after="0"/>
        <w:rPr>
          <w:rFonts w:ascii="Arial" w:hAnsi="Arial"/>
          <w:b/>
          <w:bCs/>
          <w:sz w:val="18"/>
          <w:szCs w:val="18"/>
          <w:lang w:val="en-US"/>
        </w:rPr>
      </w:pPr>
      <w:r w:rsidRPr="00767DB2">
        <w:rPr>
          <w:rFonts w:ascii="Arial" w:hAnsi="Arial"/>
          <w:b/>
          <w:bCs/>
          <w:sz w:val="18"/>
          <w:szCs w:val="18"/>
          <w:lang w:val="en-US"/>
        </w:rPr>
        <w:t>Bob Zeitlinger</w:t>
      </w:r>
    </w:p>
    <w:p w14:paraId="00BD7B8E" w14:textId="77777777" w:rsidR="006E6EC6" w:rsidRPr="00767DB2" w:rsidRDefault="006E6EC6" w:rsidP="006E6EC6">
      <w:pPr>
        <w:tabs>
          <w:tab w:val="left" w:pos="2592"/>
        </w:tabs>
        <w:spacing w:after="0"/>
        <w:rPr>
          <w:rFonts w:ascii="Arial" w:hAnsi="Arial"/>
          <w:sz w:val="18"/>
          <w:szCs w:val="18"/>
          <w:lang w:val="en-US"/>
        </w:rPr>
      </w:pPr>
      <w:r w:rsidRPr="00767DB2">
        <w:rPr>
          <w:rFonts w:ascii="Arial" w:hAnsi="Arial"/>
          <w:sz w:val="18"/>
          <w:szCs w:val="18"/>
          <w:lang w:val="en-US"/>
        </w:rPr>
        <w:t>Senior VP, Makovsky PR</w:t>
      </w:r>
    </w:p>
    <w:p w14:paraId="0039A412" w14:textId="77777777" w:rsidR="006E6EC6" w:rsidRPr="00767DB2" w:rsidRDefault="006E6EC6" w:rsidP="006E6EC6">
      <w:pPr>
        <w:tabs>
          <w:tab w:val="left" w:pos="2592"/>
        </w:tabs>
        <w:spacing w:after="0"/>
        <w:rPr>
          <w:rFonts w:ascii="Arial" w:hAnsi="Arial"/>
          <w:sz w:val="18"/>
          <w:szCs w:val="18"/>
          <w:lang w:val="en-US"/>
        </w:rPr>
      </w:pPr>
      <w:r w:rsidRPr="00767DB2">
        <w:rPr>
          <w:rFonts w:ascii="Arial" w:hAnsi="Arial"/>
          <w:sz w:val="18"/>
          <w:szCs w:val="18"/>
          <w:lang w:val="en-US"/>
        </w:rPr>
        <w:t>bzeitlinger@makovsky.com</w:t>
      </w:r>
      <w:r w:rsidRPr="00767DB2">
        <w:rPr>
          <w:rFonts w:ascii="Arial" w:hAnsi="Arial"/>
          <w:sz w:val="18"/>
          <w:szCs w:val="18"/>
          <w:lang w:val="en-US"/>
        </w:rPr>
        <w:br/>
        <w:t>(551) 427-7298</w:t>
      </w:r>
    </w:p>
    <w:p w14:paraId="680D63AF" w14:textId="61DCBD68" w:rsidR="00D013CE" w:rsidRPr="00767DB2" w:rsidRDefault="00D013CE" w:rsidP="00D013CE">
      <w:pPr>
        <w:tabs>
          <w:tab w:val="left" w:pos="2592"/>
        </w:tabs>
        <w:spacing w:after="0"/>
        <w:rPr>
          <w:rFonts w:ascii="Arial" w:eastAsia="Arial" w:hAnsi="Arial" w:cs="Arial"/>
          <w:sz w:val="18"/>
          <w:szCs w:val="18"/>
          <w:lang w:val="en-US"/>
        </w:rPr>
      </w:pPr>
    </w:p>
    <w:p w14:paraId="6C24A05C" w14:textId="77777777" w:rsidR="00C202F5" w:rsidRPr="00767DB2" w:rsidRDefault="00C202F5" w:rsidP="00914E09">
      <w:pPr>
        <w:rPr>
          <w:rFonts w:ascii="Arial" w:hAnsi="Arial" w:cs="Arial"/>
          <w:b/>
          <w:bCs/>
          <w:sz w:val="18"/>
          <w:szCs w:val="18"/>
          <w:lang w:val="en-US"/>
        </w:rPr>
      </w:pPr>
    </w:p>
    <w:p w14:paraId="70B0D9A4" w14:textId="77777777" w:rsidR="007D2596" w:rsidRPr="00767DB2" w:rsidRDefault="007D2596">
      <w:pPr>
        <w:rPr>
          <w:rFonts w:ascii="Arial" w:eastAsia="Encode Sans" w:hAnsi="Arial" w:cs="Arial"/>
          <w:b/>
          <w:bCs/>
          <w:i/>
          <w:sz w:val="18"/>
          <w:szCs w:val="18"/>
          <w:lang w:val="en-US"/>
        </w:rPr>
      </w:pPr>
      <w:r w:rsidRPr="00767DB2">
        <w:rPr>
          <w:lang w:val="en-US"/>
        </w:rPr>
        <w:br w:type="page"/>
      </w:r>
    </w:p>
    <w:p w14:paraId="7EFE1017" w14:textId="291A4AB5" w:rsidR="004F3039" w:rsidRPr="00E241A7" w:rsidRDefault="004F3039" w:rsidP="004F3039">
      <w:pPr>
        <w:spacing w:before="240"/>
        <w:rPr>
          <w:rFonts w:ascii="Arial" w:eastAsia="Encode Sans" w:hAnsi="Arial" w:cs="Arial"/>
          <w:b/>
          <w:bCs/>
          <w:i/>
          <w:sz w:val="18"/>
          <w:szCs w:val="18"/>
        </w:rPr>
      </w:pPr>
      <w:r>
        <w:rPr>
          <w:rFonts w:ascii="Arial" w:hAnsi="Arial"/>
          <w:b/>
          <w:bCs/>
          <w:i/>
          <w:sz w:val="18"/>
          <w:szCs w:val="18"/>
        </w:rPr>
        <w:lastRenderedPageBreak/>
        <w:t>DÉCLARATIONS PROSPECTIVES DE STELLANTIS</w:t>
      </w:r>
    </w:p>
    <w:p w14:paraId="1EB6F988" w14:textId="77777777" w:rsidR="0058020B" w:rsidRPr="0058020B" w:rsidRDefault="0058020B" w:rsidP="0058020B">
      <w:pPr>
        <w:spacing w:before="240"/>
        <w:rPr>
          <w:rFonts w:ascii="Arial" w:eastAsia="Encode Sans" w:hAnsi="Arial" w:cs="Arial"/>
          <w:i/>
          <w:sz w:val="18"/>
          <w:szCs w:val="18"/>
        </w:rPr>
      </w:pPr>
      <w:r>
        <w:rPr>
          <w:rFonts w:ascii="Arial" w:hAnsi="Arial"/>
          <w:i/>
          <w:sz w:val="18"/>
          <w:szCs w:val="18"/>
        </w:rPr>
        <w:t>Cette communication contient des déclarations prospectives. En particulier, les déclarations concernant les événements futurs et les résultats opérationnels anticipés, les stratégies commerciales, les bénéfices escomptés suite à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Stellantis ainsi que sur ses projections et attentes futures vis-à-vis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6C8F939F" w14:textId="77777777" w:rsidR="0058020B" w:rsidRPr="0058020B" w:rsidRDefault="0058020B" w:rsidP="0058020B">
      <w:pPr>
        <w:spacing w:before="240"/>
        <w:rPr>
          <w:rFonts w:ascii="Arial" w:eastAsia="Encode Sans" w:hAnsi="Arial" w:cs="Arial"/>
          <w:i/>
          <w:sz w:val="18"/>
          <w:szCs w:val="18"/>
        </w:rPr>
      </w:pPr>
      <w:r>
        <w:rPr>
          <w:rFonts w:ascii="Arial" w:hAnsi="Arial"/>
          <w:i/>
          <w:sz w:val="18"/>
          <w:szCs w:val="18"/>
        </w:rPr>
        <w:t xml:space="preserve"> Les résultats réels peuvent différer sensiblement de ceux exprimés dans les déclarations prospectives en raison de divers facteurs, notamment : l’impact de la pandémie de COVID-19,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Stellantis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Stellantis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Stellantis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Stellantis ; la capacité de Stellantis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Stellantis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les risques et autres éléments décrits dans le rapport annuel de l’entreprise sur le formulaire 20-F pour l’année clôturée le 31 décembre 2022 et sur le formulaire 6-K pour nos rapports actuels, ainsi que les amendements s’y rapportant déposés auprès de la SEC ; et d’autres risques et incertitudes.</w:t>
      </w:r>
    </w:p>
    <w:p w14:paraId="17942256" w14:textId="02DD3725" w:rsidR="00166720" w:rsidRDefault="0058020B" w:rsidP="00AA19F9">
      <w:pPr>
        <w:spacing w:before="240"/>
        <w:rPr>
          <w:rFonts w:ascii="Arial" w:hAnsi="Arial"/>
          <w:i/>
          <w:sz w:val="18"/>
          <w:szCs w:val="18"/>
        </w:rPr>
      </w:pPr>
      <w:r>
        <w:rPr>
          <w:rFonts w:ascii="Arial" w:hAnsi="Arial"/>
          <w:i/>
          <w:sz w:val="18"/>
          <w:szCs w:val="18"/>
        </w:rPr>
        <w:t>Toutes les déclarations prospectives contenues dans cette communication sont valables à la date des présentes, et Stellantis ne prend aucun engagement de mettre à jour ou de réviser publiquement lesdites déclarations prospectives. De plus amples informations concernant Stellantis et ses activités, y compris les facteurs susceptibles d’impacter de manière significative les résultats financiers de Stellantis, sont incluses dans les rapports et dossiers de Stellantis déposés auprès de l’U.S. Securities and Exchange Commission et de l’AFM.</w:t>
      </w:r>
    </w:p>
    <w:p w14:paraId="4FDEE555" w14:textId="77777777" w:rsidR="00C77EDC" w:rsidRPr="00E241A7" w:rsidRDefault="00C77EDC" w:rsidP="00C77EDC">
      <w:pPr>
        <w:rPr>
          <w:rFonts w:ascii="Arial" w:eastAsia="Encode Sans" w:hAnsi="Arial" w:cs="Arial"/>
          <w:i/>
          <w:sz w:val="18"/>
          <w:szCs w:val="18"/>
        </w:rPr>
      </w:pPr>
    </w:p>
    <w:p w14:paraId="1E760339" w14:textId="77777777" w:rsidR="00C77EDC" w:rsidRPr="00E241A7" w:rsidRDefault="00C77EDC" w:rsidP="004F3039">
      <w:pPr>
        <w:spacing w:before="240"/>
        <w:rPr>
          <w:rFonts w:ascii="Arial" w:hAnsi="Arial" w:cs="Arial"/>
          <w:b/>
          <w:i/>
          <w:sz w:val="16"/>
          <w:szCs w:val="16"/>
        </w:rPr>
      </w:pPr>
    </w:p>
    <w:sectPr w:rsidR="00C77EDC" w:rsidRPr="00E241A7" w:rsidSect="00C202F5">
      <w:footerReference w:type="default" r:id="rId16"/>
      <w:headerReference w:type="first" r:id="rId17"/>
      <w:pgSz w:w="12242" w:h="15842"/>
      <w:pgMar w:top="1134" w:right="1928" w:bottom="1134" w:left="1928" w:header="1021" w:footer="4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81F2" w14:textId="77777777" w:rsidR="00EB253E" w:rsidRDefault="00EB253E">
      <w:pPr>
        <w:spacing w:after="0"/>
      </w:pPr>
      <w:r>
        <w:separator/>
      </w:r>
    </w:p>
  </w:endnote>
  <w:endnote w:type="continuationSeparator" w:id="0">
    <w:p w14:paraId="1E0A8256" w14:textId="77777777" w:rsidR="00EB253E" w:rsidRDefault="00EB2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 Expanded">
    <w:altName w:val="Cambria"/>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1A11" w14:textId="77777777" w:rsidR="00EB253E" w:rsidRDefault="00EB253E">
      <w:pPr>
        <w:spacing w:after="0"/>
      </w:pPr>
      <w:r>
        <w:separator/>
      </w:r>
    </w:p>
  </w:footnote>
  <w:footnote w:type="continuationSeparator" w:id="0">
    <w:p w14:paraId="55067134" w14:textId="77777777" w:rsidR="00EB253E" w:rsidRDefault="00EB25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7608" w14:textId="6CCE2EDD" w:rsidR="00E241A7" w:rsidRDefault="00881461" w:rsidP="00881461">
    <w:pPr>
      <w:pStyle w:val="Header"/>
      <w:jc w:val="both"/>
    </w:pPr>
    <w:r>
      <w:rPr>
        <w:noProof/>
      </w:rPr>
      <w:drawing>
        <wp:anchor distT="0" distB="0" distL="114300" distR="114300" simplePos="0" relativeHeight="251658240" behindDoc="0" locked="0" layoutInCell="1" allowOverlap="1" wp14:anchorId="3EC7B410" wp14:editId="00C1E6C9">
          <wp:simplePos x="0" y="0"/>
          <wp:positionH relativeFrom="column">
            <wp:posOffset>2919095</wp:posOffset>
          </wp:positionH>
          <wp:positionV relativeFrom="paragraph">
            <wp:posOffset>161290</wp:posOffset>
          </wp:positionV>
          <wp:extent cx="2476500" cy="295275"/>
          <wp:effectExtent l="0" t="0" r="0" b="9525"/>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476500" cy="2952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8D86E97" wp14:editId="5A1BE7CC">
          <wp:extent cx="2266950" cy="722309"/>
          <wp:effectExtent l="0" t="0" r="0" b="0"/>
          <wp:docPr id="1" name="Picture 1" descr="A picture containing font, graphics, screensho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graphics, screenshot, graphic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15514" cy="737783"/>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669D7"/>
    <w:multiLevelType w:val="hybridMultilevel"/>
    <w:tmpl w:val="30742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BC63BD7"/>
    <w:multiLevelType w:val="hybridMultilevel"/>
    <w:tmpl w:val="67C458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24469011">
    <w:abstractNumId w:val="1"/>
  </w:num>
  <w:num w:numId="2" w16cid:durableId="1924141901">
    <w:abstractNumId w:val="2"/>
  </w:num>
  <w:num w:numId="3" w16cid:durableId="2127851449">
    <w:abstractNumId w:val="3"/>
  </w:num>
  <w:num w:numId="4" w16cid:durableId="1650859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1239C"/>
    <w:rsid w:val="000127F3"/>
    <w:rsid w:val="00015FDB"/>
    <w:rsid w:val="00020A0F"/>
    <w:rsid w:val="00023B89"/>
    <w:rsid w:val="0002636A"/>
    <w:rsid w:val="000403C6"/>
    <w:rsid w:val="00044E26"/>
    <w:rsid w:val="0006441F"/>
    <w:rsid w:val="00064DC7"/>
    <w:rsid w:val="000661DE"/>
    <w:rsid w:val="0008041C"/>
    <w:rsid w:val="000833E0"/>
    <w:rsid w:val="000850F7"/>
    <w:rsid w:val="00096BB8"/>
    <w:rsid w:val="000B0968"/>
    <w:rsid w:val="000B21A7"/>
    <w:rsid w:val="000B2E42"/>
    <w:rsid w:val="000C5A52"/>
    <w:rsid w:val="000D07E0"/>
    <w:rsid w:val="000D0AC3"/>
    <w:rsid w:val="000F7479"/>
    <w:rsid w:val="00100E33"/>
    <w:rsid w:val="001036F8"/>
    <w:rsid w:val="0011344A"/>
    <w:rsid w:val="00115CA3"/>
    <w:rsid w:val="00123307"/>
    <w:rsid w:val="00134F8D"/>
    <w:rsid w:val="00136AC8"/>
    <w:rsid w:val="001408C0"/>
    <w:rsid w:val="0016045E"/>
    <w:rsid w:val="00162B39"/>
    <w:rsid w:val="00166720"/>
    <w:rsid w:val="00172B2C"/>
    <w:rsid w:val="00176A69"/>
    <w:rsid w:val="0019432C"/>
    <w:rsid w:val="00195133"/>
    <w:rsid w:val="001A14C2"/>
    <w:rsid w:val="001A25FF"/>
    <w:rsid w:val="001A3B61"/>
    <w:rsid w:val="001B7F90"/>
    <w:rsid w:val="001C1D40"/>
    <w:rsid w:val="001D10B3"/>
    <w:rsid w:val="001D2376"/>
    <w:rsid w:val="001D24A4"/>
    <w:rsid w:val="001E145E"/>
    <w:rsid w:val="001E5A7A"/>
    <w:rsid w:val="00202659"/>
    <w:rsid w:val="0020268D"/>
    <w:rsid w:val="00203AFE"/>
    <w:rsid w:val="00206526"/>
    <w:rsid w:val="002074AC"/>
    <w:rsid w:val="00211BDA"/>
    <w:rsid w:val="00214934"/>
    <w:rsid w:val="00217E8C"/>
    <w:rsid w:val="002232A1"/>
    <w:rsid w:val="0023707A"/>
    <w:rsid w:val="00243FC4"/>
    <w:rsid w:val="00245789"/>
    <w:rsid w:val="00247709"/>
    <w:rsid w:val="0025678C"/>
    <w:rsid w:val="00263AD6"/>
    <w:rsid w:val="00264B42"/>
    <w:rsid w:val="00267761"/>
    <w:rsid w:val="00267C1F"/>
    <w:rsid w:val="00287CED"/>
    <w:rsid w:val="002A2391"/>
    <w:rsid w:val="002B72BF"/>
    <w:rsid w:val="002C77BE"/>
    <w:rsid w:val="002D1821"/>
    <w:rsid w:val="002D43AD"/>
    <w:rsid w:val="002D67E6"/>
    <w:rsid w:val="002D6E8E"/>
    <w:rsid w:val="002E3C8F"/>
    <w:rsid w:val="002E69CE"/>
    <w:rsid w:val="002F25E1"/>
    <w:rsid w:val="003011A4"/>
    <w:rsid w:val="003062BC"/>
    <w:rsid w:val="00306BC9"/>
    <w:rsid w:val="003118AB"/>
    <w:rsid w:val="003158BE"/>
    <w:rsid w:val="0034475B"/>
    <w:rsid w:val="003712EF"/>
    <w:rsid w:val="00374F28"/>
    <w:rsid w:val="0037579C"/>
    <w:rsid w:val="003B16F1"/>
    <w:rsid w:val="003B49A4"/>
    <w:rsid w:val="003B753E"/>
    <w:rsid w:val="003C0EBE"/>
    <w:rsid w:val="003C5A36"/>
    <w:rsid w:val="003D21DF"/>
    <w:rsid w:val="003D756D"/>
    <w:rsid w:val="003E1061"/>
    <w:rsid w:val="00401F74"/>
    <w:rsid w:val="00410120"/>
    <w:rsid w:val="00413E9B"/>
    <w:rsid w:val="0041544A"/>
    <w:rsid w:val="00424B0D"/>
    <w:rsid w:val="004272EE"/>
    <w:rsid w:val="00432165"/>
    <w:rsid w:val="004431D4"/>
    <w:rsid w:val="00481F4D"/>
    <w:rsid w:val="00492DDE"/>
    <w:rsid w:val="00495D4A"/>
    <w:rsid w:val="004977D2"/>
    <w:rsid w:val="004B14A5"/>
    <w:rsid w:val="004B395A"/>
    <w:rsid w:val="004C37B7"/>
    <w:rsid w:val="004C48ED"/>
    <w:rsid w:val="004D60BA"/>
    <w:rsid w:val="004E29EF"/>
    <w:rsid w:val="004E387D"/>
    <w:rsid w:val="004E3DDE"/>
    <w:rsid w:val="004F0A2C"/>
    <w:rsid w:val="004F2150"/>
    <w:rsid w:val="004F3039"/>
    <w:rsid w:val="004F3BE9"/>
    <w:rsid w:val="004F468E"/>
    <w:rsid w:val="004F7329"/>
    <w:rsid w:val="005062F7"/>
    <w:rsid w:val="005073F1"/>
    <w:rsid w:val="005079D0"/>
    <w:rsid w:val="00512922"/>
    <w:rsid w:val="00516057"/>
    <w:rsid w:val="00525726"/>
    <w:rsid w:val="00547AF9"/>
    <w:rsid w:val="0055767E"/>
    <w:rsid w:val="00563469"/>
    <w:rsid w:val="00572D4A"/>
    <w:rsid w:val="0058020B"/>
    <w:rsid w:val="0058367F"/>
    <w:rsid w:val="005872A0"/>
    <w:rsid w:val="00594BD8"/>
    <w:rsid w:val="0059767C"/>
    <w:rsid w:val="005B0E86"/>
    <w:rsid w:val="005B1974"/>
    <w:rsid w:val="005B2FE4"/>
    <w:rsid w:val="005C533B"/>
    <w:rsid w:val="005E4EB5"/>
    <w:rsid w:val="00603F18"/>
    <w:rsid w:val="0061766E"/>
    <w:rsid w:val="00625C11"/>
    <w:rsid w:val="006262D2"/>
    <w:rsid w:val="00627EDB"/>
    <w:rsid w:val="00631BCB"/>
    <w:rsid w:val="006534DA"/>
    <w:rsid w:val="006616BE"/>
    <w:rsid w:val="006679B2"/>
    <w:rsid w:val="00677729"/>
    <w:rsid w:val="00680D18"/>
    <w:rsid w:val="006863D0"/>
    <w:rsid w:val="006B0CEC"/>
    <w:rsid w:val="006B2EB2"/>
    <w:rsid w:val="006C58BE"/>
    <w:rsid w:val="006E6EC6"/>
    <w:rsid w:val="0071156E"/>
    <w:rsid w:val="0071381F"/>
    <w:rsid w:val="007376E7"/>
    <w:rsid w:val="007434B2"/>
    <w:rsid w:val="00745364"/>
    <w:rsid w:val="00745A7B"/>
    <w:rsid w:val="0076578D"/>
    <w:rsid w:val="00767DB2"/>
    <w:rsid w:val="00771DF0"/>
    <w:rsid w:val="00786615"/>
    <w:rsid w:val="00794DDC"/>
    <w:rsid w:val="007A17A2"/>
    <w:rsid w:val="007A1CD0"/>
    <w:rsid w:val="007A4423"/>
    <w:rsid w:val="007B698C"/>
    <w:rsid w:val="007C5570"/>
    <w:rsid w:val="007D2596"/>
    <w:rsid w:val="007F0624"/>
    <w:rsid w:val="007F30E2"/>
    <w:rsid w:val="008018C5"/>
    <w:rsid w:val="008170F0"/>
    <w:rsid w:val="008275B9"/>
    <w:rsid w:val="00837A76"/>
    <w:rsid w:val="008535C7"/>
    <w:rsid w:val="00854542"/>
    <w:rsid w:val="00854923"/>
    <w:rsid w:val="00861B7A"/>
    <w:rsid w:val="00881461"/>
    <w:rsid w:val="00881AB2"/>
    <w:rsid w:val="00894729"/>
    <w:rsid w:val="0089621D"/>
    <w:rsid w:val="0089685C"/>
    <w:rsid w:val="008A0E8A"/>
    <w:rsid w:val="008B0A0F"/>
    <w:rsid w:val="008B2BF5"/>
    <w:rsid w:val="008C60D4"/>
    <w:rsid w:val="008D26D0"/>
    <w:rsid w:val="008E1ACE"/>
    <w:rsid w:val="008F269A"/>
    <w:rsid w:val="008F4551"/>
    <w:rsid w:val="00907495"/>
    <w:rsid w:val="00913FCE"/>
    <w:rsid w:val="00914E09"/>
    <w:rsid w:val="00914ED6"/>
    <w:rsid w:val="00925DB9"/>
    <w:rsid w:val="00945F1A"/>
    <w:rsid w:val="00960076"/>
    <w:rsid w:val="00964EE7"/>
    <w:rsid w:val="00967C88"/>
    <w:rsid w:val="00980D9E"/>
    <w:rsid w:val="00990BE3"/>
    <w:rsid w:val="00991B50"/>
    <w:rsid w:val="00996297"/>
    <w:rsid w:val="00997486"/>
    <w:rsid w:val="0099793C"/>
    <w:rsid w:val="009A2719"/>
    <w:rsid w:val="009A5024"/>
    <w:rsid w:val="009B0CB9"/>
    <w:rsid w:val="009B2260"/>
    <w:rsid w:val="009B3485"/>
    <w:rsid w:val="009B5C3F"/>
    <w:rsid w:val="009C39C6"/>
    <w:rsid w:val="009C4A55"/>
    <w:rsid w:val="009D083B"/>
    <w:rsid w:val="009D5DC6"/>
    <w:rsid w:val="009D782E"/>
    <w:rsid w:val="009D7CB7"/>
    <w:rsid w:val="009E385B"/>
    <w:rsid w:val="00A10206"/>
    <w:rsid w:val="00A10846"/>
    <w:rsid w:val="00A143B2"/>
    <w:rsid w:val="00A1710C"/>
    <w:rsid w:val="00A237F3"/>
    <w:rsid w:val="00A336CD"/>
    <w:rsid w:val="00A42F8E"/>
    <w:rsid w:val="00A548A8"/>
    <w:rsid w:val="00A579FB"/>
    <w:rsid w:val="00A61578"/>
    <w:rsid w:val="00A70AB9"/>
    <w:rsid w:val="00A816C8"/>
    <w:rsid w:val="00A906F0"/>
    <w:rsid w:val="00A93804"/>
    <w:rsid w:val="00A9686E"/>
    <w:rsid w:val="00A976CF"/>
    <w:rsid w:val="00AA19F9"/>
    <w:rsid w:val="00AB0FFA"/>
    <w:rsid w:val="00AB1778"/>
    <w:rsid w:val="00AC49FA"/>
    <w:rsid w:val="00AD12DA"/>
    <w:rsid w:val="00AD7B93"/>
    <w:rsid w:val="00AE10BF"/>
    <w:rsid w:val="00AE34AF"/>
    <w:rsid w:val="00AF5DF3"/>
    <w:rsid w:val="00B07E73"/>
    <w:rsid w:val="00B272C1"/>
    <w:rsid w:val="00B27345"/>
    <w:rsid w:val="00B31E73"/>
    <w:rsid w:val="00B41B60"/>
    <w:rsid w:val="00B46A84"/>
    <w:rsid w:val="00B523FB"/>
    <w:rsid w:val="00B54574"/>
    <w:rsid w:val="00B57822"/>
    <w:rsid w:val="00B61CF3"/>
    <w:rsid w:val="00B73C7C"/>
    <w:rsid w:val="00B901C8"/>
    <w:rsid w:val="00BC4685"/>
    <w:rsid w:val="00BD6882"/>
    <w:rsid w:val="00BD74C3"/>
    <w:rsid w:val="00BE126A"/>
    <w:rsid w:val="00BE75A5"/>
    <w:rsid w:val="00C00E9B"/>
    <w:rsid w:val="00C202F5"/>
    <w:rsid w:val="00C24901"/>
    <w:rsid w:val="00C334EF"/>
    <w:rsid w:val="00C34D75"/>
    <w:rsid w:val="00C35BE9"/>
    <w:rsid w:val="00C42C0B"/>
    <w:rsid w:val="00C520FA"/>
    <w:rsid w:val="00C566C4"/>
    <w:rsid w:val="00C61685"/>
    <w:rsid w:val="00C618D1"/>
    <w:rsid w:val="00C77EDC"/>
    <w:rsid w:val="00C818B8"/>
    <w:rsid w:val="00C87382"/>
    <w:rsid w:val="00CA254B"/>
    <w:rsid w:val="00CA3AFC"/>
    <w:rsid w:val="00CA420F"/>
    <w:rsid w:val="00CB19A5"/>
    <w:rsid w:val="00CB3E70"/>
    <w:rsid w:val="00CC15FE"/>
    <w:rsid w:val="00CC5C47"/>
    <w:rsid w:val="00CD14CC"/>
    <w:rsid w:val="00CD319D"/>
    <w:rsid w:val="00CD461A"/>
    <w:rsid w:val="00D013CE"/>
    <w:rsid w:val="00D019D7"/>
    <w:rsid w:val="00D0352B"/>
    <w:rsid w:val="00D06C0E"/>
    <w:rsid w:val="00D22E38"/>
    <w:rsid w:val="00D3455C"/>
    <w:rsid w:val="00D40E54"/>
    <w:rsid w:val="00D41FFA"/>
    <w:rsid w:val="00D47A5A"/>
    <w:rsid w:val="00D5372A"/>
    <w:rsid w:val="00D878B6"/>
    <w:rsid w:val="00D90200"/>
    <w:rsid w:val="00DA44D2"/>
    <w:rsid w:val="00DB3712"/>
    <w:rsid w:val="00DB7F49"/>
    <w:rsid w:val="00DC4B9C"/>
    <w:rsid w:val="00DD5F91"/>
    <w:rsid w:val="00DF0988"/>
    <w:rsid w:val="00DF3488"/>
    <w:rsid w:val="00DF61C4"/>
    <w:rsid w:val="00E11EDF"/>
    <w:rsid w:val="00E13473"/>
    <w:rsid w:val="00E15211"/>
    <w:rsid w:val="00E16A57"/>
    <w:rsid w:val="00E241A7"/>
    <w:rsid w:val="00E36F4A"/>
    <w:rsid w:val="00E402E3"/>
    <w:rsid w:val="00E46862"/>
    <w:rsid w:val="00E55D06"/>
    <w:rsid w:val="00E60D81"/>
    <w:rsid w:val="00E653B0"/>
    <w:rsid w:val="00E669FB"/>
    <w:rsid w:val="00E759EE"/>
    <w:rsid w:val="00E76235"/>
    <w:rsid w:val="00E83264"/>
    <w:rsid w:val="00E877EC"/>
    <w:rsid w:val="00E87F6E"/>
    <w:rsid w:val="00E97FB7"/>
    <w:rsid w:val="00EB1B58"/>
    <w:rsid w:val="00EB253E"/>
    <w:rsid w:val="00EB4114"/>
    <w:rsid w:val="00EB585F"/>
    <w:rsid w:val="00EC46E6"/>
    <w:rsid w:val="00EC481A"/>
    <w:rsid w:val="00EC4F3A"/>
    <w:rsid w:val="00EE3906"/>
    <w:rsid w:val="00EF0351"/>
    <w:rsid w:val="00F073F5"/>
    <w:rsid w:val="00F1190D"/>
    <w:rsid w:val="00F1317B"/>
    <w:rsid w:val="00F13216"/>
    <w:rsid w:val="00F15C59"/>
    <w:rsid w:val="00F2385D"/>
    <w:rsid w:val="00F430AA"/>
    <w:rsid w:val="00F43483"/>
    <w:rsid w:val="00F455C0"/>
    <w:rsid w:val="00F529C5"/>
    <w:rsid w:val="00F5359D"/>
    <w:rsid w:val="00F557CF"/>
    <w:rsid w:val="00F55FA4"/>
    <w:rsid w:val="00F6243A"/>
    <w:rsid w:val="00F62C02"/>
    <w:rsid w:val="00F62C38"/>
    <w:rsid w:val="00F72EB4"/>
    <w:rsid w:val="00F75BDD"/>
    <w:rsid w:val="00F76B60"/>
    <w:rsid w:val="00F76C4A"/>
    <w:rsid w:val="00F77D35"/>
    <w:rsid w:val="00F8008C"/>
    <w:rsid w:val="00F801FE"/>
    <w:rsid w:val="00F922D5"/>
    <w:rsid w:val="00F93D65"/>
    <w:rsid w:val="00F9493A"/>
    <w:rsid w:val="00FA3E38"/>
    <w:rsid w:val="00FB40A5"/>
    <w:rsid w:val="00FB58AF"/>
    <w:rsid w:val="00FD3C15"/>
    <w:rsid w:val="00FD7529"/>
    <w:rsid w:val="00FE2429"/>
    <w:rsid w:val="00FE73C3"/>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2A46"/>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Expanded" w:eastAsia="Encode Sans Expanded Expanded" w:hAnsi="Encode Sans Expanded Expanded" w:cs="Encode Sans Expanded Expanded"/>
        <w:sz w:val="24"/>
        <w:szCs w:val="24"/>
        <w:lang w:val="fr-FR"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fr-FR"/>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fr-FR"/>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fr-FR"/>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C566C4"/>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52060">
      <w:bodyDiv w:val="1"/>
      <w:marLeft w:val="0"/>
      <w:marRight w:val="0"/>
      <w:marTop w:val="0"/>
      <w:marBottom w:val="0"/>
      <w:divBdr>
        <w:top w:val="none" w:sz="0" w:space="0" w:color="auto"/>
        <w:left w:val="none" w:sz="0" w:space="0" w:color="auto"/>
        <w:bottom w:val="none" w:sz="0" w:space="0" w:color="auto"/>
        <w:right w:val="none" w:sz="0" w:space="0" w:color="auto"/>
      </w:divBdr>
    </w:div>
    <w:div w:id="656228118">
      <w:bodyDiv w:val="1"/>
      <w:marLeft w:val="0"/>
      <w:marRight w:val="0"/>
      <w:marTop w:val="0"/>
      <w:marBottom w:val="0"/>
      <w:divBdr>
        <w:top w:val="none" w:sz="0" w:space="0" w:color="auto"/>
        <w:left w:val="none" w:sz="0" w:space="0" w:color="auto"/>
        <w:bottom w:val="none" w:sz="0" w:space="0" w:color="auto"/>
        <w:right w:val="none" w:sz="0" w:space="0" w:color="auto"/>
      </w:divBdr>
    </w:div>
    <w:div w:id="1075473956">
      <w:bodyDiv w:val="1"/>
      <w:marLeft w:val="0"/>
      <w:marRight w:val="0"/>
      <w:marTop w:val="0"/>
      <w:marBottom w:val="0"/>
      <w:divBdr>
        <w:top w:val="none" w:sz="0" w:space="0" w:color="auto"/>
        <w:left w:val="none" w:sz="0" w:space="0" w:color="auto"/>
        <w:bottom w:val="none" w:sz="0" w:space="0" w:color="auto"/>
        <w:right w:val="none" w:sz="0" w:space="0" w:color="auto"/>
      </w:divBdr>
    </w:div>
    <w:div w:id="1097557782">
      <w:bodyDiv w:val="1"/>
      <w:marLeft w:val="0"/>
      <w:marRight w:val="0"/>
      <w:marTop w:val="0"/>
      <w:marBottom w:val="0"/>
      <w:divBdr>
        <w:top w:val="none" w:sz="0" w:space="0" w:color="auto"/>
        <w:left w:val="none" w:sz="0" w:space="0" w:color="auto"/>
        <w:bottom w:val="none" w:sz="0" w:space="0" w:color="auto"/>
        <w:right w:val="none" w:sz="0" w:space="0" w:color="auto"/>
      </w:divBdr>
    </w:div>
    <w:div w:id="1494443098">
      <w:bodyDiv w:val="1"/>
      <w:marLeft w:val="0"/>
      <w:marRight w:val="0"/>
      <w:marTop w:val="0"/>
      <w:marBottom w:val="0"/>
      <w:divBdr>
        <w:top w:val="none" w:sz="0" w:space="0" w:color="auto"/>
        <w:left w:val="none" w:sz="0" w:space="0" w:color="auto"/>
        <w:bottom w:val="none" w:sz="0" w:space="0" w:color="auto"/>
        <w:right w:val="none" w:sz="0" w:space="0" w:color="auto"/>
      </w:divBdr>
    </w:div>
    <w:div w:id="1653093732">
      <w:bodyDiv w:val="1"/>
      <w:marLeft w:val="0"/>
      <w:marRight w:val="0"/>
      <w:marTop w:val="0"/>
      <w:marBottom w:val="0"/>
      <w:divBdr>
        <w:top w:val="none" w:sz="0" w:space="0" w:color="auto"/>
        <w:left w:val="none" w:sz="0" w:space="0" w:color="auto"/>
        <w:bottom w:val="none" w:sz="0" w:space="0" w:color="auto"/>
        <w:right w:val="none" w:sz="0" w:space="0" w:color="auto"/>
      </w:divBdr>
    </w:div>
    <w:div w:id="1751391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yte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tellantis.com/f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tellantis.com/fr/responsabilite/strategie-carbone-net-zero"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ellantis.com/fr/groupe/dare-forward-203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10DCD06DB4FF6549973422D366D948C5" ma:contentTypeVersion="2" ma:contentTypeDescription="Create a new document." ma:contentTypeScope="" ma:versionID="3a5fe0a2235e6a035c1f9df453d97e53">
  <xsd:schema xmlns:xsd="http://www.w3.org/2001/XMLSchema" xmlns:xs="http://www.w3.org/2001/XMLSchema" xmlns:p="http://schemas.microsoft.com/office/2006/metadata/properties" xmlns:ns3="b4433625-0c24-41a9-bdfa-68617b5dd8eb" targetNamespace="http://schemas.microsoft.com/office/2006/metadata/properties" ma:root="true" ma:fieldsID="9aacc4901b0ac5600e8b0be9c03819b0" ns3:_="">
    <xsd:import namespace="b4433625-0c24-41a9-bdfa-68617b5dd8e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33625-0c24-41a9-bdfa-68617b5dd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0BB04-E995-496B-A519-EFE8445A8F6A}">
  <ds:schemaRefs>
    <ds:schemaRef ds:uri="http://schemas.openxmlformats.org/officeDocument/2006/bibliography"/>
  </ds:schemaRefs>
</ds:datastoreItem>
</file>

<file path=customXml/itemProps2.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D9E67-E9AB-41C9-A428-35E0A2710DB0}">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B72182F-326B-470F-83F9-C67FAB168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33625-0c24-41a9-bdfa-68617b5dd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2725</Words>
  <Characters>15533</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FCA US</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ANGELA CATALDI</cp:lastModifiedBy>
  <cp:revision>3</cp:revision>
  <cp:lastPrinted>2023-04-14T03:32:00Z</cp:lastPrinted>
  <dcterms:created xsi:type="dcterms:W3CDTF">2023-05-25T09:07:00Z</dcterms:created>
  <dcterms:modified xsi:type="dcterms:W3CDTF">2023-05-25T09:13:00Z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0x01010010DCD06DB4FF6549973422D366D948C5</vt:lpwstr>
  </property>
  <property fmtid="{D5CDD505-2E9C-101B-9397-08002B2CF9AE}" pid="5" name="MSIP_Label_2fd53d93-3f4c-4b90-b511-bd6bdbb4fba9_Enabled">
    <vt:lpwstr>true</vt:lpwstr>
  </property>
  <property fmtid="{D5CDD505-2E9C-101B-9397-08002B2CF9AE}" pid="6" name="MSIP_Label_2fd53d93-3f4c-4b90-b511-bd6bdbb4fba9_SetDate">
    <vt:lpwstr>2022-10-05T08:10:22Z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390a0b9b-a251-4cc8-a057-f8361f4e1afd</vt:lpwstr>
  </property>
  <property fmtid="{D5CDD505-2E9C-101B-9397-08002B2CF9AE}" pid="11" name="MSIP_Label_2fd53d93-3f4c-4b90-b511-bd6bdbb4fba9_ContentBits">
    <vt:lpwstr>0</vt:lpwstr>
  </property>
  <property fmtid="{D5CDD505-2E9C-101B-9397-08002B2CF9AE}" pid="12" name="_NewReviewCycle">
    <vt:lpwstr/>
  </property>
  <property fmtid="{D5CDD505-2E9C-101B-9397-08002B2CF9AE}" pid="13" name="GrammarlyDocumentId">
    <vt:lpwstr>d7cff3caea233ec580b738a2523f845cce4e3a3842a284f86d04936a492e3310</vt:lpwstr>
  </property>
</Properties>
</file>