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59CA" w14:textId="77777777" w:rsidR="00EE3804" w:rsidRDefault="00EE3804" w:rsidP="001050DA">
      <w:pPr>
        <w:spacing w:after="0" w:line="240" w:lineRule="auto"/>
        <w:rPr>
          <w:rFonts w:ascii="Arial" w:hAnsi="Arial" w:cs="Arial"/>
          <w:b/>
          <w:sz w:val="28"/>
          <w:szCs w:val="28"/>
        </w:rPr>
      </w:pPr>
    </w:p>
    <w:p w14:paraId="163B3E5D" w14:textId="62B4690E" w:rsidR="00C628B0" w:rsidRPr="002C2C09" w:rsidRDefault="00C6037C" w:rsidP="00433373">
      <w:pPr>
        <w:spacing w:after="0" w:line="240" w:lineRule="auto"/>
        <w:jc w:val="center"/>
        <w:rPr>
          <w:rFonts w:ascii="Arial" w:hAnsi="Arial" w:cs="Arial"/>
          <w:b/>
          <w:sz w:val="28"/>
          <w:szCs w:val="28"/>
        </w:rPr>
      </w:pPr>
      <w:r>
        <w:rPr>
          <w:rFonts w:ascii="Arial" w:hAnsi="Arial"/>
          <w:b/>
          <w:sz w:val="28"/>
        </w:rPr>
        <w:t xml:space="preserve">Stellantis signe un accord stratégique </w:t>
      </w:r>
      <w:r w:rsidR="00535505">
        <w:rPr>
          <w:rFonts w:ascii="Arial" w:hAnsi="Arial"/>
          <w:b/>
          <w:sz w:val="28"/>
        </w:rPr>
        <w:t>(</w:t>
      </w:r>
      <w:proofErr w:type="spellStart"/>
      <w:r w:rsidR="00535505">
        <w:rPr>
          <w:rFonts w:ascii="Arial" w:hAnsi="Arial"/>
          <w:b/>
          <w:sz w:val="28"/>
        </w:rPr>
        <w:t>MoU</w:t>
      </w:r>
      <w:proofErr w:type="spellEnd"/>
      <w:r w:rsidR="00535505">
        <w:rPr>
          <w:rFonts w:ascii="Arial" w:hAnsi="Arial"/>
          <w:b/>
          <w:sz w:val="28"/>
        </w:rPr>
        <w:t xml:space="preserve">) </w:t>
      </w:r>
      <w:r>
        <w:rPr>
          <w:rFonts w:ascii="Arial" w:hAnsi="Arial"/>
          <w:b/>
          <w:sz w:val="28"/>
        </w:rPr>
        <w:t>avec CATL pour l’approvisionnement local en batteries LFP sur le marché européen</w:t>
      </w:r>
    </w:p>
    <w:p w14:paraId="2661097F" w14:textId="77777777" w:rsidR="00C6037C" w:rsidRPr="002C2C09" w:rsidRDefault="00C6037C" w:rsidP="001050DA">
      <w:pPr>
        <w:spacing w:after="0" w:line="240" w:lineRule="auto"/>
        <w:rPr>
          <w:rFonts w:ascii="Arial" w:hAnsi="Arial" w:cs="Arial"/>
          <w:b/>
          <w:sz w:val="28"/>
          <w:szCs w:val="28"/>
        </w:rPr>
      </w:pPr>
    </w:p>
    <w:p w14:paraId="63994F8D" w14:textId="0588DC63" w:rsidR="004357F3" w:rsidRPr="007718D4" w:rsidRDefault="007718D4" w:rsidP="00433373">
      <w:pPr>
        <w:pStyle w:val="Paragraphedeliste"/>
        <w:widowControl/>
        <w:numPr>
          <w:ilvl w:val="0"/>
          <w:numId w:val="1"/>
        </w:numPr>
        <w:wordWrap/>
        <w:autoSpaceDE/>
        <w:autoSpaceDN/>
        <w:spacing w:after="0" w:line="240" w:lineRule="auto"/>
        <w:textAlignment w:val="baseline"/>
        <w:rPr>
          <w:rFonts w:ascii="Arial" w:eastAsia="Times New Roman" w:hAnsi="Arial" w:cs="Arial"/>
          <w:sz w:val="24"/>
          <w:szCs w:val="24"/>
        </w:rPr>
      </w:pPr>
      <w:r>
        <w:rPr>
          <w:rFonts w:ascii="Arial" w:hAnsi="Arial"/>
          <w:sz w:val="24"/>
        </w:rPr>
        <w:t>Le protocole d’accord prévoit l</w:t>
      </w:r>
      <w:r w:rsidR="00535505">
        <w:rPr>
          <w:rFonts w:ascii="Arial" w:hAnsi="Arial"/>
          <w:sz w:val="24"/>
        </w:rPr>
        <w:t xml:space="preserve">’élaboration conjointe </w:t>
      </w:r>
      <w:r>
        <w:rPr>
          <w:rFonts w:ascii="Arial" w:hAnsi="Arial"/>
          <w:sz w:val="24"/>
        </w:rPr>
        <w:t xml:space="preserve">d’une feuille de route technologique </w:t>
      </w:r>
      <w:r w:rsidR="003014F8">
        <w:rPr>
          <w:rFonts w:ascii="Arial" w:hAnsi="Arial"/>
          <w:sz w:val="24"/>
        </w:rPr>
        <w:t xml:space="preserve">de pointe </w:t>
      </w:r>
      <w:r>
        <w:rPr>
          <w:rFonts w:ascii="Arial" w:hAnsi="Arial"/>
          <w:sz w:val="24"/>
        </w:rPr>
        <w:t xml:space="preserve">et </w:t>
      </w:r>
      <w:r w:rsidR="00535505">
        <w:rPr>
          <w:rFonts w:ascii="Arial" w:hAnsi="Arial"/>
          <w:sz w:val="24"/>
        </w:rPr>
        <w:t xml:space="preserve">l’identification </w:t>
      </w:r>
      <w:r>
        <w:rPr>
          <w:rFonts w:ascii="Arial" w:hAnsi="Arial"/>
          <w:sz w:val="24"/>
        </w:rPr>
        <w:t>d</w:t>
      </w:r>
      <w:r w:rsidR="00535505">
        <w:rPr>
          <w:rFonts w:ascii="Arial" w:hAnsi="Arial"/>
          <w:sz w:val="24"/>
        </w:rPr>
        <w:t xml:space="preserve">e futures </w:t>
      </w:r>
      <w:r>
        <w:rPr>
          <w:rFonts w:ascii="Arial" w:hAnsi="Arial"/>
          <w:sz w:val="24"/>
        </w:rPr>
        <w:t xml:space="preserve">opportunités pour la chaîne de valeur des batteries </w:t>
      </w:r>
    </w:p>
    <w:p w14:paraId="4CE4F2F2" w14:textId="5D0B94AD" w:rsidR="004357F3" w:rsidRPr="007718D4" w:rsidRDefault="004357F3" w:rsidP="00433373">
      <w:pPr>
        <w:widowControl/>
        <w:numPr>
          <w:ilvl w:val="0"/>
          <w:numId w:val="1"/>
        </w:numPr>
        <w:wordWrap/>
        <w:autoSpaceDE/>
        <w:autoSpaceDN/>
        <w:spacing w:after="0" w:line="240" w:lineRule="auto"/>
        <w:textAlignment w:val="baseline"/>
        <w:rPr>
          <w:rFonts w:ascii="Arial" w:eastAsia="Times New Roman" w:hAnsi="Arial" w:cs="Arial"/>
          <w:i/>
          <w:iCs/>
          <w:sz w:val="24"/>
          <w:szCs w:val="24"/>
        </w:rPr>
      </w:pPr>
      <w:r>
        <w:rPr>
          <w:rFonts w:ascii="Arial" w:hAnsi="Arial"/>
          <w:sz w:val="24"/>
        </w:rPr>
        <w:t xml:space="preserve">Stellantis et CATL envisagent également la création d’une coentreprise </w:t>
      </w:r>
      <w:r w:rsidRPr="00927FB8">
        <w:rPr>
          <w:rFonts w:ascii="Arial" w:hAnsi="Arial"/>
          <w:sz w:val="24"/>
        </w:rPr>
        <w:t xml:space="preserve">à </w:t>
      </w:r>
      <w:r w:rsidR="00C05118">
        <w:rPr>
          <w:rFonts w:ascii="Arial" w:hAnsi="Arial"/>
          <w:sz w:val="24"/>
        </w:rPr>
        <w:t>contribution équivalente</w:t>
      </w:r>
      <w:r w:rsidRPr="00927FB8">
        <w:rPr>
          <w:rFonts w:ascii="Arial" w:hAnsi="Arial"/>
          <w:sz w:val="24"/>
        </w:rPr>
        <w:t xml:space="preserve"> </w:t>
      </w:r>
      <w:r>
        <w:rPr>
          <w:rFonts w:ascii="Arial" w:hAnsi="Arial"/>
          <w:sz w:val="24"/>
        </w:rPr>
        <w:t>dédiée à la fabrication de batteries lithium-fer-phosphate (LFP)</w:t>
      </w:r>
    </w:p>
    <w:p w14:paraId="2DC71154" w14:textId="0C5574DA" w:rsidR="00EE3804" w:rsidRPr="002C2C09" w:rsidRDefault="00B77FC0" w:rsidP="001050DA">
      <w:pPr>
        <w:widowControl/>
        <w:numPr>
          <w:ilvl w:val="0"/>
          <w:numId w:val="1"/>
        </w:numPr>
        <w:wordWrap/>
        <w:autoSpaceDE/>
        <w:autoSpaceDN/>
        <w:spacing w:after="0" w:line="240" w:lineRule="auto"/>
        <w:textAlignment w:val="baseline"/>
        <w:rPr>
          <w:rFonts w:ascii="Arial" w:eastAsia="Times New Roman" w:hAnsi="Arial" w:cs="Arial"/>
          <w:sz w:val="24"/>
          <w:szCs w:val="24"/>
        </w:rPr>
      </w:pPr>
      <w:r>
        <w:rPr>
          <w:rFonts w:ascii="Arial" w:hAnsi="Arial"/>
          <w:sz w:val="24"/>
        </w:rPr>
        <w:t>Stellantis utilisera les batteries</w:t>
      </w:r>
      <w:r w:rsidR="003014F8">
        <w:rPr>
          <w:rFonts w:ascii="Arial" w:hAnsi="Arial"/>
          <w:sz w:val="24"/>
        </w:rPr>
        <w:t xml:space="preserve"> </w:t>
      </w:r>
      <w:r w:rsidR="002A2B31">
        <w:rPr>
          <w:rFonts w:ascii="Arial" w:hAnsi="Arial"/>
          <w:sz w:val="24"/>
        </w:rPr>
        <w:t xml:space="preserve">lithium-fer-phosphate </w:t>
      </w:r>
      <w:r>
        <w:rPr>
          <w:rFonts w:ascii="Arial" w:hAnsi="Arial"/>
          <w:sz w:val="24"/>
        </w:rPr>
        <w:t>LFP</w:t>
      </w:r>
      <w:r w:rsidR="00695E53">
        <w:rPr>
          <w:rFonts w:ascii="Arial" w:hAnsi="Arial"/>
          <w:sz w:val="24"/>
        </w:rPr>
        <w:t xml:space="preserve"> </w:t>
      </w:r>
      <w:r>
        <w:rPr>
          <w:rFonts w:ascii="Arial" w:hAnsi="Arial"/>
          <w:sz w:val="24"/>
        </w:rPr>
        <w:t xml:space="preserve">pour ses véhicules électriques </w:t>
      </w:r>
      <w:r w:rsidR="00535505">
        <w:rPr>
          <w:rFonts w:ascii="Arial" w:hAnsi="Arial"/>
          <w:sz w:val="24"/>
        </w:rPr>
        <w:t xml:space="preserve">produits </w:t>
      </w:r>
      <w:r>
        <w:rPr>
          <w:rFonts w:ascii="Arial" w:hAnsi="Arial"/>
          <w:sz w:val="24"/>
        </w:rPr>
        <w:t xml:space="preserve">en Europe et </w:t>
      </w:r>
      <w:r w:rsidR="00535505">
        <w:rPr>
          <w:rFonts w:ascii="Arial" w:hAnsi="Arial"/>
          <w:sz w:val="24"/>
        </w:rPr>
        <w:t xml:space="preserve">ainsi </w:t>
      </w:r>
      <w:r>
        <w:rPr>
          <w:rFonts w:ascii="Arial" w:hAnsi="Arial"/>
          <w:sz w:val="24"/>
        </w:rPr>
        <w:t xml:space="preserve">soutenir la stratégie d’électrification ambitieuse du plan Dare </w:t>
      </w:r>
      <w:proofErr w:type="spellStart"/>
      <w:r>
        <w:rPr>
          <w:rFonts w:ascii="Arial" w:hAnsi="Arial"/>
          <w:sz w:val="24"/>
        </w:rPr>
        <w:t>Forward</w:t>
      </w:r>
      <w:proofErr w:type="spellEnd"/>
      <w:r>
        <w:rPr>
          <w:rFonts w:ascii="Arial" w:hAnsi="Arial"/>
          <w:sz w:val="24"/>
        </w:rPr>
        <w:t> 2030</w:t>
      </w:r>
    </w:p>
    <w:p w14:paraId="462C54B2" w14:textId="77777777" w:rsidR="00693A7D" w:rsidRPr="002C2C09" w:rsidRDefault="00693A7D" w:rsidP="00433373">
      <w:pPr>
        <w:spacing w:after="0" w:line="240" w:lineRule="auto"/>
        <w:rPr>
          <w:rFonts w:ascii="Arial" w:hAnsi="Arial" w:cs="Arial"/>
          <w:b/>
          <w:sz w:val="22"/>
        </w:rPr>
      </w:pPr>
    </w:p>
    <w:p w14:paraId="77FF21BA" w14:textId="3EC790A0" w:rsidR="00B77FC0" w:rsidRPr="007718D4" w:rsidRDefault="005A49A6" w:rsidP="00276923">
      <w:pPr>
        <w:spacing w:after="0" w:line="240" w:lineRule="auto"/>
        <w:rPr>
          <w:rFonts w:ascii="Arial" w:eastAsia="Times New Roman" w:hAnsi="Arial" w:cs="Arial"/>
          <w:sz w:val="22"/>
          <w:shd w:val="clear" w:color="auto" w:fill="FFFFFF"/>
        </w:rPr>
      </w:pPr>
      <w:r>
        <w:rPr>
          <w:rFonts w:ascii="Arial" w:hAnsi="Arial"/>
          <w:b/>
          <w:sz w:val="22"/>
        </w:rPr>
        <w:t xml:space="preserve">AMSTERDAM, le </w:t>
      </w:r>
      <w:r w:rsidR="0085134B">
        <w:rPr>
          <w:rFonts w:ascii="Arial" w:hAnsi="Arial"/>
          <w:b/>
          <w:sz w:val="22"/>
        </w:rPr>
        <w:t>21 </w:t>
      </w:r>
      <w:r>
        <w:rPr>
          <w:rFonts w:ascii="Arial" w:hAnsi="Arial"/>
          <w:b/>
          <w:sz w:val="22"/>
        </w:rPr>
        <w:t xml:space="preserve">novembre 2023 </w:t>
      </w:r>
      <w:r w:rsidR="00B35EED">
        <w:rPr>
          <w:rFonts w:ascii="Arial" w:hAnsi="Arial"/>
          <w:b/>
          <w:sz w:val="22"/>
        </w:rPr>
        <w:t>–</w:t>
      </w:r>
      <w:r>
        <w:rPr>
          <w:rFonts w:ascii="Arial" w:hAnsi="Arial"/>
          <w:b/>
          <w:sz w:val="22"/>
        </w:rPr>
        <w:t xml:space="preserve"> </w:t>
      </w:r>
      <w:hyperlink r:id="rId8" w:history="1">
        <w:r w:rsidR="00B35EED" w:rsidRPr="00B35EED">
          <w:rPr>
            <w:rStyle w:val="Lienhypertexte"/>
            <w:rFonts w:ascii="Arial" w:hAnsi="Arial"/>
            <w:sz w:val="22"/>
            <w:shd w:val="clear" w:color="auto" w:fill="FFFFFF"/>
          </w:rPr>
          <w:t xml:space="preserve">Stellantis </w:t>
        </w:r>
        <w:r w:rsidR="00E2456D" w:rsidRPr="00B35EED">
          <w:rPr>
            <w:rStyle w:val="Lienhypertexte"/>
            <w:rFonts w:ascii="Arial" w:hAnsi="Arial"/>
            <w:sz w:val="22"/>
            <w:shd w:val="clear" w:color="auto" w:fill="FFFFFF"/>
          </w:rPr>
          <w:t>N.V.</w:t>
        </w:r>
      </w:hyperlink>
      <w:r w:rsidR="00E2456D">
        <w:rPr>
          <w:rFonts w:ascii="Arial" w:hAnsi="Arial"/>
          <w:sz w:val="22"/>
          <w:shd w:val="clear" w:color="auto" w:fill="FFFFFF"/>
        </w:rPr>
        <w:t xml:space="preserve"> </w:t>
      </w:r>
      <w:r>
        <w:rPr>
          <w:rFonts w:ascii="Arial" w:hAnsi="Arial"/>
          <w:sz w:val="22"/>
          <w:shd w:val="clear" w:color="auto" w:fill="FFFFFF"/>
        </w:rPr>
        <w:t xml:space="preserve">et CATL annoncent aujourd’hui la signature d’un accord non </w:t>
      </w:r>
      <w:r w:rsidR="00E2456D">
        <w:rPr>
          <w:rFonts w:ascii="Arial" w:hAnsi="Arial"/>
          <w:sz w:val="22"/>
          <w:shd w:val="clear" w:color="auto" w:fill="FFFFFF"/>
        </w:rPr>
        <w:t xml:space="preserve">engageant </w:t>
      </w:r>
      <w:r>
        <w:rPr>
          <w:rFonts w:ascii="Arial" w:hAnsi="Arial"/>
          <w:sz w:val="22"/>
          <w:shd w:val="clear" w:color="auto" w:fill="FFFFFF"/>
        </w:rPr>
        <w:t>(</w:t>
      </w:r>
      <w:proofErr w:type="spellStart"/>
      <w:r>
        <w:rPr>
          <w:rFonts w:ascii="Arial" w:hAnsi="Arial"/>
          <w:sz w:val="22"/>
          <w:shd w:val="clear" w:color="auto" w:fill="FFFFFF"/>
        </w:rPr>
        <w:t>MoU</w:t>
      </w:r>
      <w:proofErr w:type="spellEnd"/>
      <w:r>
        <w:rPr>
          <w:rFonts w:ascii="Arial" w:hAnsi="Arial"/>
          <w:sz w:val="22"/>
          <w:shd w:val="clear" w:color="auto" w:fill="FFFFFF"/>
        </w:rPr>
        <w:t xml:space="preserve">) pour l’approvisionnement local </w:t>
      </w:r>
      <w:r w:rsidR="003014F8">
        <w:rPr>
          <w:rFonts w:ascii="Arial" w:hAnsi="Arial"/>
          <w:sz w:val="22"/>
          <w:shd w:val="clear" w:color="auto" w:fill="FFFFFF"/>
        </w:rPr>
        <w:t>de</w:t>
      </w:r>
      <w:r>
        <w:rPr>
          <w:rFonts w:ascii="Arial" w:hAnsi="Arial"/>
          <w:sz w:val="22"/>
          <w:shd w:val="clear" w:color="auto" w:fill="FFFFFF"/>
        </w:rPr>
        <w:t xml:space="preserve"> cellules et modules de batteries LFP, </w:t>
      </w:r>
      <w:r w:rsidR="003014F8">
        <w:rPr>
          <w:rFonts w:ascii="Arial" w:hAnsi="Arial"/>
          <w:sz w:val="22"/>
          <w:shd w:val="clear" w:color="auto" w:fill="FFFFFF"/>
        </w:rPr>
        <w:t xml:space="preserve">destinés à </w:t>
      </w:r>
      <w:r w:rsidR="00CD62A5">
        <w:rPr>
          <w:rFonts w:ascii="Arial" w:hAnsi="Arial"/>
          <w:sz w:val="22"/>
          <w:shd w:val="clear" w:color="auto" w:fill="FFFFFF"/>
        </w:rPr>
        <w:t xml:space="preserve">alimenter </w:t>
      </w:r>
      <w:r>
        <w:rPr>
          <w:rFonts w:ascii="Arial" w:hAnsi="Arial"/>
          <w:sz w:val="22"/>
          <w:shd w:val="clear" w:color="auto" w:fill="FFFFFF"/>
        </w:rPr>
        <w:t xml:space="preserve">la production </w:t>
      </w:r>
      <w:r w:rsidR="00E2456D">
        <w:rPr>
          <w:rFonts w:ascii="Arial" w:hAnsi="Arial"/>
          <w:sz w:val="22"/>
          <w:shd w:val="clear" w:color="auto" w:fill="FFFFFF"/>
        </w:rPr>
        <w:t>européenne</w:t>
      </w:r>
      <w:r w:rsidR="003014F8">
        <w:rPr>
          <w:rFonts w:ascii="Arial" w:hAnsi="Arial"/>
          <w:sz w:val="22"/>
          <w:shd w:val="clear" w:color="auto" w:fill="FFFFFF"/>
        </w:rPr>
        <w:t xml:space="preserve"> </w:t>
      </w:r>
      <w:r>
        <w:rPr>
          <w:rFonts w:ascii="Arial" w:hAnsi="Arial"/>
          <w:sz w:val="22"/>
          <w:shd w:val="clear" w:color="auto" w:fill="FFFFFF"/>
        </w:rPr>
        <w:t>de</w:t>
      </w:r>
      <w:r w:rsidR="008007F2">
        <w:rPr>
          <w:rFonts w:ascii="Arial" w:hAnsi="Arial"/>
          <w:sz w:val="22"/>
          <w:shd w:val="clear" w:color="auto" w:fill="FFFFFF"/>
        </w:rPr>
        <w:t>s</w:t>
      </w:r>
      <w:r>
        <w:rPr>
          <w:rFonts w:ascii="Arial" w:hAnsi="Arial"/>
          <w:sz w:val="22"/>
          <w:shd w:val="clear" w:color="auto" w:fill="FFFFFF"/>
        </w:rPr>
        <w:t xml:space="preserve"> véhicules électriques Stellantis. </w:t>
      </w:r>
      <w:r w:rsidR="003014F8">
        <w:rPr>
          <w:rFonts w:ascii="Arial" w:hAnsi="Arial"/>
          <w:sz w:val="22"/>
          <w:shd w:val="clear" w:color="auto" w:fill="FFFFFF"/>
        </w:rPr>
        <w:t xml:space="preserve">Afin de </w:t>
      </w:r>
      <w:r w:rsidR="00CD62A5">
        <w:rPr>
          <w:rFonts w:ascii="Arial" w:hAnsi="Arial"/>
          <w:sz w:val="22"/>
          <w:shd w:val="clear" w:color="auto" w:fill="FFFFFF"/>
        </w:rPr>
        <w:t xml:space="preserve">soutenir </w:t>
      </w:r>
      <w:r>
        <w:rPr>
          <w:rFonts w:ascii="Arial" w:hAnsi="Arial"/>
          <w:sz w:val="22"/>
          <w:shd w:val="clear" w:color="auto" w:fill="FFFFFF"/>
        </w:rPr>
        <w:t xml:space="preserve">la stratégie ambitieuse de Stellantis en matière d’électrification, les deux entreprises envisagent également de créer une coentreprise </w:t>
      </w:r>
      <w:r w:rsidRPr="00927FB8">
        <w:rPr>
          <w:rFonts w:ascii="Arial" w:hAnsi="Arial"/>
          <w:sz w:val="22"/>
          <w:shd w:val="clear" w:color="auto" w:fill="FFFFFF"/>
        </w:rPr>
        <w:t xml:space="preserve">à </w:t>
      </w:r>
      <w:r w:rsidR="00C05118">
        <w:rPr>
          <w:rFonts w:ascii="Arial" w:hAnsi="Arial"/>
          <w:sz w:val="22"/>
          <w:shd w:val="clear" w:color="auto" w:fill="FFFFFF"/>
        </w:rPr>
        <w:t>contribution équivalente</w:t>
      </w:r>
      <w:r w:rsidR="003014F8" w:rsidRPr="00927FB8">
        <w:rPr>
          <w:rFonts w:ascii="Arial" w:hAnsi="Arial"/>
          <w:sz w:val="22"/>
          <w:shd w:val="clear" w:color="auto" w:fill="FFFFFF"/>
        </w:rPr>
        <w:t>.</w:t>
      </w:r>
    </w:p>
    <w:p w14:paraId="396FC4D6" w14:textId="77777777" w:rsidR="00B77FC0" w:rsidRPr="007718D4" w:rsidRDefault="00B77FC0" w:rsidP="00276923">
      <w:pPr>
        <w:spacing w:after="0" w:line="240" w:lineRule="auto"/>
        <w:rPr>
          <w:rFonts w:ascii="Arial" w:eastAsia="Times New Roman" w:hAnsi="Arial" w:cs="Arial"/>
          <w:sz w:val="22"/>
          <w:shd w:val="clear" w:color="auto" w:fill="FFFFFF"/>
        </w:rPr>
      </w:pPr>
    </w:p>
    <w:p w14:paraId="71B52015" w14:textId="3EC0B29F" w:rsidR="004B5A94" w:rsidRDefault="004B5A94" w:rsidP="00276923">
      <w:pPr>
        <w:spacing w:after="0" w:line="240" w:lineRule="auto"/>
        <w:rPr>
          <w:rFonts w:ascii="Arial" w:eastAsia="DengXian" w:hAnsi="Arial" w:cs="Arial"/>
          <w:sz w:val="22"/>
          <w:shd w:val="clear" w:color="auto" w:fill="FFFFFF"/>
        </w:rPr>
      </w:pPr>
      <w:r w:rsidRPr="00535505">
        <w:rPr>
          <w:rFonts w:ascii="Arial" w:hAnsi="Arial"/>
          <w:sz w:val="22"/>
          <w:shd w:val="clear" w:color="auto" w:fill="FFFFFF"/>
        </w:rPr>
        <w:t>Le</w:t>
      </w:r>
      <w:r w:rsidR="00CD62A5" w:rsidRPr="00535505">
        <w:rPr>
          <w:rFonts w:ascii="Arial" w:hAnsi="Arial"/>
          <w:sz w:val="22"/>
          <w:shd w:val="clear" w:color="auto" w:fill="FFFFFF"/>
        </w:rPr>
        <w:t xml:space="preserve"> protocole d’entente </w:t>
      </w:r>
      <w:r w:rsidRPr="00535505">
        <w:rPr>
          <w:rFonts w:ascii="Arial" w:hAnsi="Arial"/>
          <w:sz w:val="22"/>
          <w:shd w:val="clear" w:color="auto" w:fill="FFFFFF"/>
        </w:rPr>
        <w:t xml:space="preserve">prévoit une collaboration à long terme entre CATL et Stellantis autour de deux </w:t>
      </w:r>
      <w:r w:rsidR="00535505">
        <w:rPr>
          <w:rFonts w:ascii="Arial" w:hAnsi="Arial"/>
          <w:sz w:val="22"/>
          <w:shd w:val="clear" w:color="auto" w:fill="FFFFFF"/>
        </w:rPr>
        <w:t xml:space="preserve">axes </w:t>
      </w:r>
      <w:r w:rsidRPr="00535505">
        <w:rPr>
          <w:rFonts w:ascii="Arial" w:hAnsi="Arial"/>
          <w:sz w:val="22"/>
          <w:shd w:val="clear" w:color="auto" w:fill="FFFFFF"/>
        </w:rPr>
        <w:t xml:space="preserve">stratégiques distincts : </w:t>
      </w:r>
      <w:r w:rsidR="008007F2" w:rsidRPr="00535505">
        <w:rPr>
          <w:rFonts w:ascii="Arial" w:hAnsi="Arial"/>
          <w:sz w:val="22"/>
          <w:shd w:val="clear" w:color="auto" w:fill="FFFFFF"/>
        </w:rPr>
        <w:t xml:space="preserve">d’une part </w:t>
      </w:r>
      <w:r w:rsidRPr="00535505">
        <w:rPr>
          <w:rFonts w:ascii="Arial" w:hAnsi="Arial"/>
          <w:sz w:val="22"/>
          <w:shd w:val="clear" w:color="auto" w:fill="FFFFFF"/>
        </w:rPr>
        <w:t>l’élaboration d</w:t>
      </w:r>
      <w:r w:rsidR="0085134B">
        <w:rPr>
          <w:rFonts w:ascii="Arial" w:hAnsi="Arial"/>
          <w:sz w:val="22"/>
          <w:shd w:val="clear" w:color="auto" w:fill="FFFFFF"/>
        </w:rPr>
        <w:t>’</w:t>
      </w:r>
      <w:r w:rsidRPr="00535505">
        <w:rPr>
          <w:rFonts w:ascii="Arial" w:hAnsi="Arial"/>
          <w:sz w:val="22"/>
          <w:shd w:val="clear" w:color="auto" w:fill="FFFFFF"/>
        </w:rPr>
        <w:t>une feuille de route technologique</w:t>
      </w:r>
      <w:r w:rsidR="00CD62A5" w:rsidRPr="00535505">
        <w:rPr>
          <w:rFonts w:ascii="Arial" w:hAnsi="Arial"/>
          <w:sz w:val="22"/>
          <w:shd w:val="clear" w:color="auto" w:fill="FFFFFF"/>
        </w:rPr>
        <w:t xml:space="preserve"> audacieuse</w:t>
      </w:r>
      <w:r w:rsidRPr="00535505">
        <w:rPr>
          <w:rFonts w:ascii="Arial" w:hAnsi="Arial"/>
          <w:sz w:val="22"/>
          <w:shd w:val="clear" w:color="auto" w:fill="FFFFFF"/>
        </w:rPr>
        <w:t xml:space="preserve"> </w:t>
      </w:r>
      <w:r w:rsidR="00CD62A5" w:rsidRPr="00535505">
        <w:rPr>
          <w:rFonts w:ascii="Arial" w:hAnsi="Arial"/>
          <w:sz w:val="22"/>
          <w:shd w:val="clear" w:color="auto" w:fill="FFFFFF"/>
        </w:rPr>
        <w:t>pour</w:t>
      </w:r>
      <w:r w:rsidRPr="00535505">
        <w:rPr>
          <w:rFonts w:ascii="Arial" w:hAnsi="Arial"/>
          <w:sz w:val="22"/>
          <w:shd w:val="clear" w:color="auto" w:fill="FFFFFF"/>
        </w:rPr>
        <w:t xml:space="preserve"> soutenir </w:t>
      </w:r>
      <w:r w:rsidR="007D4B3E" w:rsidRPr="00535505">
        <w:rPr>
          <w:rFonts w:ascii="Arial" w:hAnsi="Arial"/>
          <w:sz w:val="22"/>
          <w:shd w:val="clear" w:color="auto" w:fill="FFFFFF"/>
        </w:rPr>
        <w:t>la commercialisation d</w:t>
      </w:r>
      <w:r w:rsidRPr="00535505">
        <w:rPr>
          <w:rFonts w:ascii="Arial" w:hAnsi="Arial"/>
          <w:sz w:val="22"/>
          <w:shd w:val="clear" w:color="auto" w:fill="FFFFFF"/>
        </w:rPr>
        <w:t xml:space="preserve">es véhicules électriques de Stellantis, et </w:t>
      </w:r>
      <w:r w:rsidR="008007F2" w:rsidRPr="00535505">
        <w:rPr>
          <w:rFonts w:ascii="Arial" w:hAnsi="Arial"/>
          <w:sz w:val="22"/>
          <w:shd w:val="clear" w:color="auto" w:fill="FFFFFF"/>
        </w:rPr>
        <w:t xml:space="preserve">d’autre part </w:t>
      </w:r>
      <w:r w:rsidR="00EB7FE9" w:rsidRPr="00927FB8">
        <w:rPr>
          <w:rFonts w:ascii="Arial" w:hAnsi="Arial"/>
          <w:sz w:val="22"/>
          <w:shd w:val="clear" w:color="auto" w:fill="FFFFFF"/>
        </w:rPr>
        <w:t xml:space="preserve">l’identification </w:t>
      </w:r>
      <w:r w:rsidRPr="00535505">
        <w:rPr>
          <w:rFonts w:ascii="Arial" w:hAnsi="Arial"/>
          <w:sz w:val="22"/>
          <w:shd w:val="clear" w:color="auto" w:fill="FFFFFF"/>
        </w:rPr>
        <w:t xml:space="preserve">de nouvelles opportunités permettant de </w:t>
      </w:r>
      <w:r w:rsidR="00CD62A5" w:rsidRPr="00535505">
        <w:rPr>
          <w:rFonts w:ascii="Arial" w:hAnsi="Arial"/>
          <w:sz w:val="22"/>
          <w:shd w:val="clear" w:color="auto" w:fill="FFFFFF"/>
        </w:rPr>
        <w:t xml:space="preserve">renforcer </w:t>
      </w:r>
      <w:r w:rsidRPr="00535505">
        <w:rPr>
          <w:rFonts w:ascii="Arial" w:hAnsi="Arial"/>
          <w:sz w:val="22"/>
          <w:shd w:val="clear" w:color="auto" w:fill="FFFFFF"/>
        </w:rPr>
        <w:t>la chaîne de valeur des batteries.</w:t>
      </w:r>
    </w:p>
    <w:p w14:paraId="1E5BC9A3" w14:textId="77777777" w:rsidR="00B77FC0" w:rsidRPr="002C2C09" w:rsidRDefault="00B77FC0" w:rsidP="00276923">
      <w:pPr>
        <w:spacing w:after="0" w:line="240" w:lineRule="auto"/>
        <w:rPr>
          <w:rFonts w:ascii="Arial" w:eastAsia="DengXian" w:hAnsi="Arial" w:cs="Arial"/>
          <w:sz w:val="22"/>
          <w:shd w:val="clear" w:color="auto" w:fill="FFFFFF"/>
          <w:lang w:eastAsia="zh-CN"/>
        </w:rPr>
      </w:pPr>
    </w:p>
    <w:p w14:paraId="7931C283" w14:textId="7AEAD14E" w:rsidR="00563E19" w:rsidRPr="007718D4" w:rsidRDefault="00B50755" w:rsidP="00276923">
      <w:pPr>
        <w:spacing w:after="0" w:line="240" w:lineRule="auto"/>
        <w:rPr>
          <w:rFonts w:ascii="Arial" w:eastAsia="Times New Roman" w:hAnsi="Arial" w:cs="Arial"/>
          <w:sz w:val="22"/>
          <w:shd w:val="clear" w:color="auto" w:fill="FFFFFF"/>
        </w:rPr>
      </w:pPr>
      <w:r>
        <w:rPr>
          <w:rFonts w:ascii="Arial" w:hAnsi="Arial"/>
          <w:sz w:val="22"/>
          <w:shd w:val="clear" w:color="auto" w:fill="FFFFFF"/>
        </w:rPr>
        <w:t>« Ce</w:t>
      </w:r>
      <w:r w:rsidR="00EB7FE9">
        <w:rPr>
          <w:rFonts w:ascii="Arial" w:hAnsi="Arial"/>
          <w:sz w:val="22"/>
          <w:shd w:val="clear" w:color="auto" w:fill="FFFFFF"/>
        </w:rPr>
        <w:t xml:space="preserve"> protocole d’</w:t>
      </w:r>
      <w:r>
        <w:rPr>
          <w:rFonts w:ascii="Arial" w:hAnsi="Arial"/>
          <w:sz w:val="22"/>
          <w:shd w:val="clear" w:color="auto" w:fill="FFFFFF"/>
        </w:rPr>
        <w:t>accord avec CATL sur la chimie des batteries LFP est un nouvel élément clé de notre stratégie à long terme</w:t>
      </w:r>
      <w:r w:rsidR="008007F2">
        <w:rPr>
          <w:rFonts w:ascii="Arial" w:hAnsi="Arial"/>
          <w:sz w:val="22"/>
          <w:shd w:val="clear" w:color="auto" w:fill="FFFFFF"/>
        </w:rPr>
        <w:t>, dont l’ambition est de</w:t>
      </w:r>
      <w:r>
        <w:rPr>
          <w:rFonts w:ascii="Arial" w:hAnsi="Arial"/>
          <w:sz w:val="22"/>
          <w:shd w:val="clear" w:color="auto" w:fill="FFFFFF"/>
        </w:rPr>
        <w:t xml:space="preserve"> </w:t>
      </w:r>
      <w:r w:rsidR="007D4B3E">
        <w:rPr>
          <w:rFonts w:ascii="Arial" w:hAnsi="Arial"/>
          <w:sz w:val="22"/>
          <w:shd w:val="clear" w:color="auto" w:fill="FFFFFF"/>
        </w:rPr>
        <w:t xml:space="preserve">préserver </w:t>
      </w:r>
      <w:r>
        <w:rPr>
          <w:rFonts w:ascii="Arial" w:hAnsi="Arial"/>
          <w:sz w:val="22"/>
          <w:shd w:val="clear" w:color="auto" w:fill="FFFFFF"/>
        </w:rPr>
        <w:t>la liberté de mouvement de</w:t>
      </w:r>
      <w:r w:rsidR="007D4B3E">
        <w:rPr>
          <w:rFonts w:ascii="Arial" w:hAnsi="Arial"/>
          <w:sz w:val="22"/>
          <w:shd w:val="clear" w:color="auto" w:fill="FFFFFF"/>
        </w:rPr>
        <w:t>s</w:t>
      </w:r>
      <w:r>
        <w:rPr>
          <w:rFonts w:ascii="Arial" w:hAnsi="Arial"/>
          <w:sz w:val="22"/>
          <w:shd w:val="clear" w:color="auto" w:fill="FFFFFF"/>
        </w:rPr>
        <w:t xml:space="preserve"> classe</w:t>
      </w:r>
      <w:r w:rsidR="007D4B3E">
        <w:rPr>
          <w:rFonts w:ascii="Arial" w:hAnsi="Arial"/>
          <w:sz w:val="22"/>
          <w:shd w:val="clear" w:color="auto" w:fill="FFFFFF"/>
        </w:rPr>
        <w:t>s</w:t>
      </w:r>
      <w:r>
        <w:rPr>
          <w:rFonts w:ascii="Arial" w:hAnsi="Arial"/>
          <w:sz w:val="22"/>
          <w:shd w:val="clear" w:color="auto" w:fill="FFFFFF"/>
        </w:rPr>
        <w:t xml:space="preserve"> moyenne</w:t>
      </w:r>
      <w:r w:rsidR="007D4B3E">
        <w:rPr>
          <w:rFonts w:ascii="Arial" w:hAnsi="Arial"/>
          <w:sz w:val="22"/>
          <w:shd w:val="clear" w:color="auto" w:fill="FFFFFF"/>
        </w:rPr>
        <w:t>s</w:t>
      </w:r>
      <w:r>
        <w:rPr>
          <w:rFonts w:ascii="Arial" w:hAnsi="Arial"/>
          <w:sz w:val="22"/>
          <w:shd w:val="clear" w:color="auto" w:fill="FFFFFF"/>
        </w:rPr>
        <w:t xml:space="preserve"> européenne</w:t>
      </w:r>
      <w:r w:rsidR="007D4B3E">
        <w:rPr>
          <w:rFonts w:ascii="Arial" w:hAnsi="Arial"/>
          <w:sz w:val="22"/>
          <w:shd w:val="clear" w:color="auto" w:fill="FFFFFF"/>
        </w:rPr>
        <w:t>s</w:t>
      </w:r>
      <w:r>
        <w:rPr>
          <w:rFonts w:ascii="Arial" w:hAnsi="Arial"/>
          <w:sz w:val="22"/>
          <w:shd w:val="clear" w:color="auto" w:fill="FFFFFF"/>
        </w:rPr>
        <w:t xml:space="preserve"> », a déclaré Carlos Tavares, CEO de Stellantis. « Ce partenariat entre nos marques emblématiques et CATL, leader </w:t>
      </w:r>
      <w:r w:rsidR="008007F2">
        <w:rPr>
          <w:rFonts w:ascii="Arial" w:hAnsi="Arial"/>
          <w:sz w:val="22"/>
          <w:shd w:val="clear" w:color="auto" w:fill="FFFFFF"/>
        </w:rPr>
        <w:t xml:space="preserve">de l’industrie </w:t>
      </w:r>
      <w:r>
        <w:rPr>
          <w:rFonts w:ascii="Arial" w:hAnsi="Arial"/>
          <w:sz w:val="22"/>
          <w:shd w:val="clear" w:color="auto" w:fill="FFFFFF"/>
        </w:rPr>
        <w:t>d</w:t>
      </w:r>
      <w:r w:rsidR="008007F2">
        <w:rPr>
          <w:rFonts w:ascii="Arial" w:hAnsi="Arial"/>
          <w:sz w:val="22"/>
          <w:shd w:val="clear" w:color="auto" w:fill="FFFFFF"/>
        </w:rPr>
        <w:t xml:space="preserve">ans ce </w:t>
      </w:r>
      <w:r>
        <w:rPr>
          <w:rFonts w:ascii="Arial" w:hAnsi="Arial"/>
          <w:sz w:val="22"/>
          <w:shd w:val="clear" w:color="auto" w:fill="FFFFFF"/>
        </w:rPr>
        <w:t>secteur</w:t>
      </w:r>
      <w:r w:rsidR="008007F2">
        <w:rPr>
          <w:rFonts w:ascii="Arial" w:hAnsi="Arial"/>
          <w:sz w:val="22"/>
          <w:shd w:val="clear" w:color="auto" w:fill="FFFFFF"/>
        </w:rPr>
        <w:t xml:space="preserve">, </w:t>
      </w:r>
      <w:r>
        <w:rPr>
          <w:rFonts w:ascii="Arial" w:hAnsi="Arial"/>
          <w:sz w:val="22"/>
          <w:shd w:val="clear" w:color="auto" w:fill="FFFFFF"/>
        </w:rPr>
        <w:t>nous permettra de proposer une technologie de batterie innovante et accessible à nos clients tout en nous aidant à atteindre la neutralité carbone d’ici 2038. »</w:t>
      </w:r>
    </w:p>
    <w:p w14:paraId="07930F8F" w14:textId="77777777" w:rsidR="004B5A94" w:rsidRPr="007718D4" w:rsidRDefault="004B5A94" w:rsidP="00276923">
      <w:pPr>
        <w:spacing w:after="0" w:line="240" w:lineRule="auto"/>
        <w:rPr>
          <w:rFonts w:ascii="Arial" w:eastAsia="DengXian" w:hAnsi="Arial" w:cs="Arial"/>
          <w:sz w:val="22"/>
          <w:shd w:val="clear" w:color="auto" w:fill="FFFFFF"/>
          <w:lang w:eastAsia="zh-CN"/>
        </w:rPr>
      </w:pPr>
    </w:p>
    <w:p w14:paraId="41BC2A23" w14:textId="393661AF" w:rsidR="00A414A8" w:rsidRDefault="00CD62A5" w:rsidP="00276923">
      <w:pPr>
        <w:spacing w:after="0" w:line="240" w:lineRule="auto"/>
        <w:rPr>
          <w:rFonts w:ascii="Arial" w:hAnsi="Arial"/>
          <w:sz w:val="22"/>
          <w:shd w:val="clear" w:color="auto" w:fill="FFFFFF"/>
        </w:rPr>
      </w:pPr>
      <w:r w:rsidRPr="00927FB8">
        <w:rPr>
          <w:rFonts w:ascii="Arial" w:hAnsi="Arial"/>
          <w:sz w:val="22"/>
          <w:shd w:val="clear" w:color="auto" w:fill="FFFFFF"/>
        </w:rPr>
        <w:t xml:space="preserve">« Nous sommes très heureux </w:t>
      </w:r>
      <w:r w:rsidR="007A182D">
        <w:rPr>
          <w:rFonts w:ascii="Arial" w:hAnsi="Arial"/>
          <w:sz w:val="22"/>
          <w:shd w:val="clear" w:color="auto" w:fill="FFFFFF"/>
        </w:rPr>
        <w:t xml:space="preserve">que </w:t>
      </w:r>
      <w:r w:rsidRPr="00927FB8">
        <w:rPr>
          <w:rFonts w:ascii="Arial" w:hAnsi="Arial"/>
          <w:sz w:val="22"/>
          <w:shd w:val="clear" w:color="auto" w:fill="FFFFFF"/>
        </w:rPr>
        <w:t xml:space="preserve">notre coopération avec Stellantis </w:t>
      </w:r>
      <w:r w:rsidR="007A182D">
        <w:rPr>
          <w:rFonts w:ascii="Arial" w:hAnsi="Arial"/>
          <w:sz w:val="22"/>
          <w:shd w:val="clear" w:color="auto" w:fill="FFFFFF"/>
        </w:rPr>
        <w:t xml:space="preserve">atteigne </w:t>
      </w:r>
      <w:r w:rsidRPr="00927FB8">
        <w:rPr>
          <w:rFonts w:ascii="Arial" w:hAnsi="Arial"/>
          <w:sz w:val="22"/>
          <w:shd w:val="clear" w:color="auto" w:fill="FFFFFF"/>
        </w:rPr>
        <w:t>un nouveau niveau. Grâce à l</w:t>
      </w:r>
      <w:r w:rsidR="00DB28B3">
        <w:rPr>
          <w:rFonts w:ascii="Arial" w:hAnsi="Arial"/>
          <w:sz w:val="22"/>
          <w:shd w:val="clear" w:color="auto" w:fill="FFFFFF"/>
        </w:rPr>
        <w:t xml:space="preserve">a grande </w:t>
      </w:r>
      <w:r w:rsidRPr="00927FB8">
        <w:rPr>
          <w:rFonts w:ascii="Arial" w:hAnsi="Arial"/>
          <w:sz w:val="22"/>
          <w:shd w:val="clear" w:color="auto" w:fill="FFFFFF"/>
        </w:rPr>
        <w:t xml:space="preserve">expertise de Stellantis dans la </w:t>
      </w:r>
      <w:r w:rsidR="007A182D">
        <w:rPr>
          <w:rFonts w:ascii="Arial" w:hAnsi="Arial"/>
          <w:sz w:val="22"/>
          <w:shd w:val="clear" w:color="auto" w:fill="FFFFFF"/>
        </w:rPr>
        <w:t xml:space="preserve">production </w:t>
      </w:r>
      <w:r w:rsidRPr="00927FB8">
        <w:rPr>
          <w:rFonts w:ascii="Arial" w:hAnsi="Arial"/>
          <w:sz w:val="22"/>
          <w:shd w:val="clear" w:color="auto" w:fill="FFFFFF"/>
        </w:rPr>
        <w:t xml:space="preserve">automobile et à la technologie de batterie avancée de CATL, </w:t>
      </w:r>
      <w:r w:rsidR="00F51D58">
        <w:rPr>
          <w:rFonts w:ascii="Arial" w:hAnsi="Arial"/>
          <w:sz w:val="22"/>
          <w:shd w:val="clear" w:color="auto" w:fill="FFFFFF"/>
        </w:rPr>
        <w:t>c</w:t>
      </w:r>
      <w:r w:rsidRPr="00927FB8">
        <w:rPr>
          <w:rFonts w:ascii="Arial" w:hAnsi="Arial"/>
          <w:sz w:val="22"/>
          <w:shd w:val="clear" w:color="auto" w:fill="FFFFFF"/>
        </w:rPr>
        <w:t xml:space="preserve">e partenariat sera une étape décisive dans le </w:t>
      </w:r>
      <w:r w:rsidR="00DB28B3">
        <w:rPr>
          <w:rFonts w:ascii="Arial" w:hAnsi="Arial"/>
          <w:sz w:val="22"/>
          <w:shd w:val="clear" w:color="auto" w:fill="FFFFFF"/>
        </w:rPr>
        <w:t>chemin</w:t>
      </w:r>
      <w:r w:rsidRPr="00927FB8">
        <w:rPr>
          <w:rFonts w:ascii="Arial" w:hAnsi="Arial"/>
          <w:sz w:val="22"/>
          <w:shd w:val="clear" w:color="auto" w:fill="FFFFFF"/>
        </w:rPr>
        <w:t xml:space="preserve"> de</w:t>
      </w:r>
      <w:r w:rsidR="00F51D58">
        <w:rPr>
          <w:rFonts w:ascii="Arial" w:hAnsi="Arial"/>
          <w:sz w:val="22"/>
          <w:shd w:val="clear" w:color="auto" w:fill="FFFFFF"/>
        </w:rPr>
        <w:t xml:space="preserve"> no</w:t>
      </w:r>
      <w:r w:rsidRPr="00927FB8">
        <w:rPr>
          <w:rFonts w:ascii="Arial" w:hAnsi="Arial"/>
          <w:sz w:val="22"/>
          <w:shd w:val="clear" w:color="auto" w:fill="FFFFFF"/>
        </w:rPr>
        <w:t xml:space="preserve">s deux </w:t>
      </w:r>
      <w:r w:rsidR="00DB28B3">
        <w:rPr>
          <w:rFonts w:ascii="Arial" w:hAnsi="Arial"/>
          <w:sz w:val="22"/>
          <w:shd w:val="clear" w:color="auto" w:fill="FFFFFF"/>
        </w:rPr>
        <w:t xml:space="preserve">entreprises </w:t>
      </w:r>
      <w:r w:rsidRPr="00927FB8">
        <w:rPr>
          <w:rFonts w:ascii="Arial" w:hAnsi="Arial"/>
          <w:sz w:val="22"/>
          <w:shd w:val="clear" w:color="auto" w:fill="FFFFFF"/>
        </w:rPr>
        <w:t>vers le</w:t>
      </w:r>
      <w:r w:rsidR="00DB28B3">
        <w:rPr>
          <w:rFonts w:ascii="Arial" w:hAnsi="Arial"/>
          <w:sz w:val="22"/>
          <w:shd w:val="clear" w:color="auto" w:fill="FFFFFF"/>
        </w:rPr>
        <w:t>urs</w:t>
      </w:r>
      <w:r w:rsidRPr="00927FB8">
        <w:rPr>
          <w:rFonts w:ascii="Arial" w:hAnsi="Arial"/>
          <w:sz w:val="22"/>
          <w:shd w:val="clear" w:color="auto" w:fill="FFFFFF"/>
        </w:rPr>
        <w:t xml:space="preserve"> objectifs </w:t>
      </w:r>
      <w:r w:rsidR="00535505">
        <w:rPr>
          <w:rFonts w:ascii="Arial" w:hAnsi="Arial"/>
          <w:sz w:val="22"/>
          <w:shd w:val="clear" w:color="auto" w:fill="FFFFFF"/>
        </w:rPr>
        <w:t xml:space="preserve">respectifs </w:t>
      </w:r>
      <w:r w:rsidRPr="00927FB8">
        <w:rPr>
          <w:rFonts w:ascii="Arial" w:hAnsi="Arial"/>
          <w:sz w:val="22"/>
          <w:shd w:val="clear" w:color="auto" w:fill="FFFFFF"/>
        </w:rPr>
        <w:t xml:space="preserve">de neutralité carbone », a déclaré Robin Zeng, président et directeur général de CATL. « Nous </w:t>
      </w:r>
      <w:r w:rsidR="00DB28B3">
        <w:rPr>
          <w:rFonts w:ascii="Arial" w:hAnsi="Arial"/>
          <w:sz w:val="22"/>
          <w:shd w:val="clear" w:color="auto" w:fill="FFFFFF"/>
        </w:rPr>
        <w:t>sommes</w:t>
      </w:r>
      <w:r w:rsidRPr="00927FB8">
        <w:rPr>
          <w:rFonts w:ascii="Arial" w:hAnsi="Arial"/>
          <w:sz w:val="22"/>
          <w:shd w:val="clear" w:color="auto" w:fill="FFFFFF"/>
        </w:rPr>
        <w:t xml:space="preserve"> déterminés à fournir des solutions plus </w:t>
      </w:r>
      <w:r w:rsidR="007A182D">
        <w:rPr>
          <w:rFonts w:ascii="Arial" w:hAnsi="Arial"/>
          <w:sz w:val="22"/>
          <w:shd w:val="clear" w:color="auto" w:fill="FFFFFF"/>
        </w:rPr>
        <w:t>compétitives</w:t>
      </w:r>
      <w:r w:rsidRPr="00927FB8">
        <w:rPr>
          <w:rFonts w:ascii="Arial" w:hAnsi="Arial"/>
          <w:sz w:val="22"/>
          <w:shd w:val="clear" w:color="auto" w:fill="FFFFFF"/>
        </w:rPr>
        <w:t xml:space="preserve"> et</w:t>
      </w:r>
      <w:r w:rsidR="007A182D">
        <w:rPr>
          <w:rFonts w:ascii="Arial" w:hAnsi="Arial"/>
          <w:sz w:val="22"/>
          <w:shd w:val="clear" w:color="auto" w:fill="FFFFFF"/>
        </w:rPr>
        <w:t xml:space="preserve"> plus</w:t>
      </w:r>
      <w:r w:rsidRPr="00927FB8">
        <w:rPr>
          <w:rFonts w:ascii="Arial" w:hAnsi="Arial"/>
          <w:sz w:val="22"/>
          <w:shd w:val="clear" w:color="auto" w:fill="FFFFFF"/>
        </w:rPr>
        <w:t xml:space="preserve"> durables à nos partenaires afin de promouvoir la transition énergétique mondiale. »</w:t>
      </w:r>
    </w:p>
    <w:p w14:paraId="1B55878B" w14:textId="77777777" w:rsidR="00CD62A5" w:rsidRPr="00927FB8" w:rsidRDefault="00CD62A5" w:rsidP="00276923">
      <w:pPr>
        <w:spacing w:after="0" w:line="240" w:lineRule="auto"/>
        <w:rPr>
          <w:rFonts w:ascii="Arial" w:hAnsi="Arial"/>
          <w:sz w:val="22"/>
          <w:shd w:val="clear" w:color="auto" w:fill="FFFFFF"/>
        </w:rPr>
      </w:pPr>
    </w:p>
    <w:p w14:paraId="14E39EE4" w14:textId="764E5BF3" w:rsidR="00A414A8" w:rsidRPr="007718D4" w:rsidRDefault="00A414A8" w:rsidP="00B31A09">
      <w:pPr>
        <w:spacing w:after="0" w:line="240" w:lineRule="auto"/>
        <w:rPr>
          <w:rFonts w:ascii="Arial" w:eastAsia="DengXian" w:hAnsi="Arial" w:cs="Arial"/>
          <w:sz w:val="22"/>
          <w:shd w:val="clear" w:color="auto" w:fill="FFFFFF"/>
        </w:rPr>
      </w:pPr>
      <w:r>
        <w:rPr>
          <w:rFonts w:ascii="Arial" w:hAnsi="Arial"/>
          <w:sz w:val="22"/>
          <w:shd w:val="clear" w:color="auto" w:fill="FFFFFF"/>
        </w:rPr>
        <w:t xml:space="preserve">La </w:t>
      </w:r>
      <w:r w:rsidR="00F51D58">
        <w:rPr>
          <w:rFonts w:ascii="Arial" w:hAnsi="Arial"/>
          <w:sz w:val="22"/>
          <w:shd w:val="clear" w:color="auto" w:fill="FFFFFF"/>
        </w:rPr>
        <w:t xml:space="preserve">longue </w:t>
      </w:r>
      <w:r>
        <w:rPr>
          <w:rFonts w:ascii="Arial" w:hAnsi="Arial"/>
          <w:sz w:val="22"/>
          <w:shd w:val="clear" w:color="auto" w:fill="FFFFFF"/>
        </w:rPr>
        <w:t xml:space="preserve">durée de vie et l’excellente stabilité thermique de la technologie LFP permettra </w:t>
      </w:r>
    </w:p>
    <w:p w14:paraId="7B29AC1A" w14:textId="4ACD2BAE" w:rsidR="00A414A8" w:rsidRDefault="00535505" w:rsidP="00B31A09">
      <w:pPr>
        <w:spacing w:after="0" w:line="240" w:lineRule="auto"/>
        <w:rPr>
          <w:rFonts w:ascii="Arial" w:hAnsi="Arial"/>
          <w:sz w:val="22"/>
          <w:shd w:val="clear" w:color="auto" w:fill="FFFFFF"/>
        </w:rPr>
      </w:pPr>
      <w:r>
        <w:rPr>
          <w:rFonts w:ascii="Arial" w:hAnsi="Arial"/>
          <w:sz w:val="22"/>
          <w:shd w:val="clear" w:color="auto" w:fill="FFFFFF"/>
        </w:rPr>
        <w:t xml:space="preserve">à </w:t>
      </w:r>
      <w:r w:rsidR="00A414A8">
        <w:rPr>
          <w:rFonts w:ascii="Arial" w:hAnsi="Arial"/>
          <w:sz w:val="22"/>
          <w:shd w:val="clear" w:color="auto" w:fill="FFFFFF"/>
        </w:rPr>
        <w:t xml:space="preserve">Stellantis de commercialiser des voitures particulières, des crossovers et des SUV électriques </w:t>
      </w:r>
      <w:r w:rsidR="00F51D58">
        <w:rPr>
          <w:rFonts w:ascii="Arial" w:hAnsi="Arial"/>
          <w:sz w:val="22"/>
          <w:shd w:val="clear" w:color="auto" w:fill="FFFFFF"/>
        </w:rPr>
        <w:t xml:space="preserve">de grande qualité, </w:t>
      </w:r>
      <w:r w:rsidR="00A414A8">
        <w:rPr>
          <w:rFonts w:ascii="Arial" w:hAnsi="Arial"/>
          <w:sz w:val="22"/>
          <w:shd w:val="clear" w:color="auto" w:fill="FFFFFF"/>
        </w:rPr>
        <w:t>durables</w:t>
      </w:r>
      <w:r w:rsidR="00F51D58">
        <w:rPr>
          <w:rFonts w:ascii="Arial" w:hAnsi="Arial"/>
          <w:sz w:val="22"/>
          <w:shd w:val="clear" w:color="auto" w:fill="FFFFFF"/>
        </w:rPr>
        <w:t xml:space="preserve"> et</w:t>
      </w:r>
      <w:r w:rsidR="00CD62A5">
        <w:rPr>
          <w:rFonts w:ascii="Arial" w:hAnsi="Arial"/>
          <w:sz w:val="22"/>
          <w:shd w:val="clear" w:color="auto" w:fill="FFFFFF"/>
        </w:rPr>
        <w:t xml:space="preserve"> abordabl</w:t>
      </w:r>
      <w:r w:rsidR="007A182D">
        <w:rPr>
          <w:rFonts w:ascii="Arial" w:hAnsi="Arial"/>
          <w:sz w:val="22"/>
          <w:shd w:val="clear" w:color="auto" w:fill="FFFFFF"/>
        </w:rPr>
        <w:t xml:space="preserve">es </w:t>
      </w:r>
      <w:r w:rsidR="00A414A8">
        <w:rPr>
          <w:rFonts w:ascii="Arial" w:hAnsi="Arial"/>
          <w:sz w:val="22"/>
          <w:shd w:val="clear" w:color="auto" w:fill="FFFFFF"/>
        </w:rPr>
        <w:t>dans les segments B et C.</w:t>
      </w:r>
    </w:p>
    <w:p w14:paraId="2A295F3E" w14:textId="372F9CA9" w:rsidR="00EE2B25" w:rsidRDefault="00EE2B25" w:rsidP="00B31A09">
      <w:pPr>
        <w:widowControl/>
        <w:wordWrap/>
        <w:autoSpaceDE/>
        <w:autoSpaceDN/>
        <w:spacing w:after="160" w:line="259" w:lineRule="auto"/>
        <w:rPr>
          <w:rFonts w:ascii="Arial" w:hAnsi="Arial"/>
          <w:sz w:val="22"/>
          <w:shd w:val="clear" w:color="auto" w:fill="FFFFFF"/>
        </w:rPr>
      </w:pPr>
      <w:r>
        <w:rPr>
          <w:rFonts w:ascii="Arial" w:hAnsi="Arial"/>
          <w:sz w:val="22"/>
          <w:shd w:val="clear" w:color="auto" w:fill="FFFFFF"/>
        </w:rPr>
        <w:br w:type="page"/>
      </w:r>
    </w:p>
    <w:p w14:paraId="20240F58" w14:textId="3CC9C3EC" w:rsidR="00717512" w:rsidRPr="00742551" w:rsidRDefault="00530E96" w:rsidP="00276923">
      <w:pPr>
        <w:spacing w:after="0" w:line="240" w:lineRule="auto"/>
        <w:rPr>
          <w:rFonts w:ascii="Arial" w:eastAsia="Times New Roman" w:hAnsi="Arial" w:cs="Arial"/>
          <w:sz w:val="22"/>
          <w:shd w:val="clear" w:color="auto" w:fill="FFFFFF"/>
        </w:rPr>
      </w:pPr>
      <w:r>
        <w:rPr>
          <w:rFonts w:ascii="Arial" w:hAnsi="Arial"/>
          <w:sz w:val="22"/>
          <w:shd w:val="clear" w:color="auto" w:fill="FFFFFF"/>
        </w:rPr>
        <w:lastRenderedPageBreak/>
        <w:t xml:space="preserve">Dans le cadre du plan stratégique </w:t>
      </w:r>
      <w:hyperlink r:id="rId9" w:history="1">
        <w:r>
          <w:rPr>
            <w:rStyle w:val="Lienhypertexte"/>
            <w:rFonts w:ascii="Arial" w:hAnsi="Arial"/>
            <w:color w:val="auto"/>
            <w:sz w:val="22"/>
            <w:shd w:val="clear" w:color="auto" w:fill="FFFFFF"/>
          </w:rPr>
          <w:t xml:space="preserve">Dare </w:t>
        </w:r>
        <w:proofErr w:type="spellStart"/>
        <w:r>
          <w:rPr>
            <w:rStyle w:val="Lienhypertexte"/>
            <w:rFonts w:ascii="Arial" w:hAnsi="Arial"/>
            <w:color w:val="auto"/>
            <w:sz w:val="22"/>
            <w:shd w:val="clear" w:color="auto" w:fill="FFFFFF"/>
          </w:rPr>
          <w:t>Forward</w:t>
        </w:r>
        <w:proofErr w:type="spellEnd"/>
        <w:r>
          <w:rPr>
            <w:rStyle w:val="Lienhypertexte"/>
            <w:rFonts w:ascii="Arial" w:hAnsi="Arial"/>
            <w:color w:val="auto"/>
            <w:sz w:val="22"/>
            <w:shd w:val="clear" w:color="auto" w:fill="FFFFFF"/>
          </w:rPr>
          <w:t> 2030</w:t>
        </w:r>
      </w:hyperlink>
      <w:r>
        <w:rPr>
          <w:rFonts w:ascii="Arial" w:hAnsi="Arial"/>
          <w:sz w:val="22"/>
          <w:shd w:val="clear" w:color="auto" w:fill="FFFFFF"/>
        </w:rPr>
        <w:t>, Stellantis a annoncé son intention d</w:t>
      </w:r>
      <w:r w:rsidR="0085134B">
        <w:rPr>
          <w:rFonts w:ascii="Arial" w:hAnsi="Arial"/>
          <w:sz w:val="22"/>
          <w:shd w:val="clear" w:color="auto" w:fill="FFFFFF"/>
        </w:rPr>
        <w:t>’</w:t>
      </w:r>
      <w:r>
        <w:rPr>
          <w:rFonts w:ascii="Arial" w:hAnsi="Arial"/>
          <w:sz w:val="22"/>
          <w:shd w:val="clear" w:color="auto" w:fill="FFFFFF"/>
        </w:rPr>
        <w:t xml:space="preserve">atteindre 100 % des ventes de véhicules électriques à batterie (BEV) pour les voitures </w:t>
      </w:r>
      <w:r w:rsidR="00535505">
        <w:rPr>
          <w:rFonts w:ascii="Arial" w:hAnsi="Arial"/>
          <w:sz w:val="22"/>
          <w:shd w:val="clear" w:color="auto" w:fill="FFFFFF"/>
        </w:rPr>
        <w:t xml:space="preserve">particulières </w:t>
      </w:r>
      <w:r>
        <w:rPr>
          <w:rFonts w:ascii="Arial" w:hAnsi="Arial"/>
          <w:sz w:val="22"/>
          <w:shd w:val="clear" w:color="auto" w:fill="FFFFFF"/>
        </w:rPr>
        <w:t xml:space="preserve">en Europe et 50 % des ventes de BEV pour les voitures </w:t>
      </w:r>
      <w:r w:rsidR="00535505">
        <w:rPr>
          <w:rFonts w:ascii="Arial" w:hAnsi="Arial"/>
          <w:sz w:val="22"/>
          <w:shd w:val="clear" w:color="auto" w:fill="FFFFFF"/>
        </w:rPr>
        <w:t>particulières</w:t>
      </w:r>
      <w:r>
        <w:rPr>
          <w:rFonts w:ascii="Arial" w:hAnsi="Arial"/>
          <w:sz w:val="22"/>
          <w:shd w:val="clear" w:color="auto" w:fill="FFFFFF"/>
        </w:rPr>
        <w:t xml:space="preserve"> et les véhicules utilitaires légers aux États-Unis d</w:t>
      </w:r>
      <w:r w:rsidR="0085134B">
        <w:rPr>
          <w:rFonts w:ascii="Arial" w:hAnsi="Arial"/>
          <w:sz w:val="22"/>
          <w:shd w:val="clear" w:color="auto" w:fill="FFFFFF"/>
        </w:rPr>
        <w:t>’</w:t>
      </w:r>
      <w:r>
        <w:rPr>
          <w:rFonts w:ascii="Arial" w:hAnsi="Arial"/>
          <w:sz w:val="22"/>
          <w:shd w:val="clear" w:color="auto" w:fill="FFFFFF"/>
        </w:rPr>
        <w:t xml:space="preserve">ici 2030. Stellantis est </w:t>
      </w:r>
      <w:r w:rsidR="000E4CE5">
        <w:rPr>
          <w:rFonts w:ascii="Arial" w:hAnsi="Arial"/>
          <w:sz w:val="22"/>
          <w:shd w:val="clear" w:color="auto" w:fill="FFFFFF"/>
        </w:rPr>
        <w:t xml:space="preserve">actuellement </w:t>
      </w:r>
      <w:r>
        <w:rPr>
          <w:rFonts w:ascii="Arial" w:hAnsi="Arial"/>
          <w:sz w:val="22"/>
          <w:shd w:val="clear" w:color="auto" w:fill="FFFFFF"/>
        </w:rPr>
        <w:t xml:space="preserve">en bonne voie pour devenir une entreprise neutre en carbone d’ici 2038. </w:t>
      </w:r>
      <w:r w:rsidR="000E4CE5">
        <w:rPr>
          <w:rFonts w:ascii="Arial" w:hAnsi="Arial"/>
          <w:sz w:val="22"/>
          <w:shd w:val="clear" w:color="auto" w:fill="FFFFFF"/>
        </w:rPr>
        <w:t xml:space="preserve">Et en parallèle, </w:t>
      </w:r>
      <w:r>
        <w:rPr>
          <w:rFonts w:ascii="Arial" w:hAnsi="Arial"/>
          <w:sz w:val="22"/>
          <w:shd w:val="clear" w:color="auto" w:fill="FFFFFF"/>
        </w:rPr>
        <w:t>Stellantis est en train de constituer un panel de partenaires clés afin d’assurer un approvisionnement stable et à faible empreinte carbone en matériaux essentiels pour son avenir électrifié.</w:t>
      </w:r>
    </w:p>
    <w:p w14:paraId="1F5EB98B" w14:textId="77777777" w:rsidR="00956C4D" w:rsidRPr="00742551" w:rsidRDefault="00956C4D" w:rsidP="00276923">
      <w:pPr>
        <w:spacing w:after="0" w:line="240" w:lineRule="auto"/>
        <w:rPr>
          <w:rFonts w:ascii="Arial" w:eastAsia="Times New Roman" w:hAnsi="Arial" w:cs="Arial"/>
          <w:sz w:val="22"/>
          <w:shd w:val="clear" w:color="auto" w:fill="FFFFFF"/>
        </w:rPr>
      </w:pPr>
    </w:p>
    <w:p w14:paraId="4248F388" w14:textId="6D242684" w:rsidR="0007479D" w:rsidRPr="00742551" w:rsidRDefault="0007479D" w:rsidP="00276923">
      <w:pPr>
        <w:spacing w:after="0" w:line="240" w:lineRule="auto"/>
        <w:rPr>
          <w:rFonts w:ascii="Arial" w:eastAsia="Times New Roman" w:hAnsi="Arial" w:cs="Arial"/>
          <w:sz w:val="22"/>
          <w:shd w:val="clear" w:color="auto" w:fill="FFFFFF"/>
        </w:rPr>
      </w:pPr>
    </w:p>
    <w:p w14:paraId="1EE67F01" w14:textId="3AF44F24" w:rsidR="0007479D" w:rsidRPr="00742551" w:rsidRDefault="005E0086" w:rsidP="00D92DD3">
      <w:pPr>
        <w:spacing w:after="0" w:line="240" w:lineRule="auto"/>
        <w:jc w:val="center"/>
        <w:rPr>
          <w:rFonts w:ascii="Arial" w:eastAsia="Times New Roman" w:hAnsi="Arial" w:cs="Arial"/>
          <w:sz w:val="22"/>
          <w:shd w:val="clear" w:color="auto" w:fill="FFFFFF"/>
        </w:rPr>
      </w:pPr>
      <w:r>
        <w:rPr>
          <w:rFonts w:ascii="Arial" w:hAnsi="Arial"/>
          <w:sz w:val="22"/>
          <w:shd w:val="clear" w:color="auto" w:fill="FFFFFF"/>
        </w:rPr>
        <w:t># # #</w:t>
      </w:r>
    </w:p>
    <w:p w14:paraId="56C6AB75" w14:textId="77777777" w:rsidR="00A03072" w:rsidRPr="00742551" w:rsidRDefault="00A03072" w:rsidP="007A2600">
      <w:pPr>
        <w:spacing w:after="0" w:line="240" w:lineRule="auto"/>
        <w:rPr>
          <w:rFonts w:ascii="Times New Roman" w:eastAsia="Times New Roman" w:hAnsi="Times New Roman" w:cs="Times New Roman"/>
          <w:sz w:val="22"/>
        </w:rPr>
      </w:pPr>
    </w:p>
    <w:p w14:paraId="693FB20C" w14:textId="77777777" w:rsidR="00C3279A" w:rsidRPr="00742551" w:rsidRDefault="00C3279A" w:rsidP="007A2600">
      <w:pPr>
        <w:tabs>
          <w:tab w:val="left" w:pos="4140"/>
        </w:tabs>
        <w:spacing w:after="0" w:line="240" w:lineRule="auto"/>
        <w:rPr>
          <w:rFonts w:ascii="Arial" w:eastAsia="Arial" w:hAnsi="Arial" w:cs="Arial"/>
          <w:b/>
          <w:sz w:val="22"/>
        </w:rPr>
      </w:pPr>
    </w:p>
    <w:p w14:paraId="7A7A1F94" w14:textId="18A1996F" w:rsidR="00530E96" w:rsidRPr="00742551" w:rsidRDefault="00530E96" w:rsidP="007A2600">
      <w:pPr>
        <w:tabs>
          <w:tab w:val="left" w:pos="4140"/>
        </w:tabs>
        <w:spacing w:after="0" w:line="240" w:lineRule="auto"/>
        <w:rPr>
          <w:rFonts w:ascii="Arial" w:eastAsia="Arial" w:hAnsi="Arial" w:cs="Arial"/>
          <w:b/>
          <w:sz w:val="22"/>
        </w:rPr>
      </w:pPr>
      <w:r>
        <w:rPr>
          <w:rFonts w:ascii="Arial" w:hAnsi="Arial"/>
          <w:b/>
          <w:sz w:val="22"/>
        </w:rPr>
        <w:t xml:space="preserve">À propos de Stellantis </w:t>
      </w:r>
    </w:p>
    <w:p w14:paraId="4B81280D" w14:textId="209B2C3B" w:rsidR="008B1463" w:rsidRPr="00742551" w:rsidRDefault="00530E96" w:rsidP="007A2600">
      <w:pPr>
        <w:tabs>
          <w:tab w:val="left" w:pos="4140"/>
        </w:tabs>
        <w:spacing w:after="0" w:line="240" w:lineRule="auto"/>
        <w:rPr>
          <w:rFonts w:ascii="Arial" w:hAnsi="Arial" w:cs="Arial"/>
          <w:bCs/>
          <w:sz w:val="22"/>
        </w:rPr>
      </w:pPr>
      <w:r>
        <w:rPr>
          <w:rFonts w:ascii="Arial" w:hAnsi="Arial"/>
          <w:sz w:val="22"/>
        </w:rPr>
        <w:t xml:space="preserve">Stellantis N.V. (NYSE : STLA / Euronext Milan : STLAM / Euronext Paris : STLAP) fait partie des principaux constructeurs automobiles et fournisseurs de services de mobilité internationaux. </w:t>
      </w:r>
      <w:proofErr w:type="spellStart"/>
      <w:r>
        <w:rPr>
          <w:rFonts w:ascii="Arial" w:hAnsi="Arial"/>
          <w:sz w:val="22"/>
        </w:rPr>
        <w:t>Abarth</w:t>
      </w:r>
      <w:proofErr w:type="spellEnd"/>
      <w:r>
        <w:rPr>
          <w:rFonts w:ascii="Arial" w:hAnsi="Arial"/>
          <w:sz w:val="22"/>
        </w:rPr>
        <w:t xml:space="preserve">, Alfa Romeo, Chrysler, Citroën, Dodge, DS Automobiles, Fiat, Jeep®, Lancia, Maserati, Opel, Peugeot, Ram, Vauxhall, Free2move et </w:t>
      </w:r>
      <w:proofErr w:type="spellStart"/>
      <w:r>
        <w:rPr>
          <w:rFonts w:ascii="Arial" w:hAnsi="Arial"/>
          <w:sz w:val="22"/>
        </w:rPr>
        <w:t>Leasys</w:t>
      </w:r>
      <w:proofErr w:type="spellEnd"/>
      <w:r>
        <w:rPr>
          <w:rFonts w:ascii="Arial" w:hAnsi="Arial"/>
          <w:sz w:val="22"/>
        </w:rPr>
        <w:t xml:space="preserve"> : emblématiques et chargées d’histoire, nos marques insufflent la passion des visionnaires qui les ont fondées et celle de nos clients actuels au cœur de leurs produits et services avant-gardistes. Notre objectif : devenir la plus grande tech </w:t>
      </w:r>
      <w:proofErr w:type="spellStart"/>
      <w:r>
        <w:rPr>
          <w:rFonts w:ascii="Arial" w:hAnsi="Arial"/>
          <w:sz w:val="22"/>
        </w:rPr>
        <w:t>company</w:t>
      </w:r>
      <w:proofErr w:type="spellEnd"/>
      <w:r>
        <w:rPr>
          <w:rFonts w:ascii="Arial" w:hAnsi="Arial"/>
          <w:sz w:val="22"/>
        </w:rPr>
        <w:t xml:space="preserve"> de mobilité durable, en termes de qualité et non de taille, tout en créant encore plus de valeur pour l’ensemble de nos partenaires et des communautés au sein desquelles nous opérons. Pour en savoir plus, www.stellantis.com.</w:t>
      </w:r>
    </w:p>
    <w:p w14:paraId="03A85DD3" w14:textId="77777777" w:rsidR="0007479D" w:rsidRPr="00742551" w:rsidRDefault="0007479D" w:rsidP="007A2600">
      <w:pPr>
        <w:spacing w:after="0" w:line="240" w:lineRule="auto"/>
        <w:rPr>
          <w:rFonts w:ascii="Arial" w:eastAsia="Arial" w:hAnsi="Arial" w:cs="Arial"/>
          <w:b/>
          <w:sz w:val="22"/>
        </w:rPr>
      </w:pPr>
    </w:p>
    <w:p w14:paraId="283833F0" w14:textId="7D26A72F" w:rsidR="00B91785" w:rsidRPr="00742551" w:rsidRDefault="00C931E4" w:rsidP="007A2600">
      <w:pPr>
        <w:tabs>
          <w:tab w:val="left" w:pos="2592"/>
        </w:tabs>
        <w:spacing w:after="0" w:line="240" w:lineRule="auto"/>
        <w:rPr>
          <w:rFonts w:ascii="Arial" w:eastAsia="Arial" w:hAnsi="Arial" w:cs="Arial"/>
          <w:b/>
          <w:sz w:val="22"/>
        </w:rPr>
      </w:pPr>
      <w:r>
        <w:rPr>
          <w:rFonts w:ascii="Arial" w:hAnsi="Arial"/>
          <w:b/>
          <w:sz w:val="22"/>
        </w:rPr>
        <w:t>À propos de CATL</w:t>
      </w:r>
    </w:p>
    <w:p w14:paraId="245E0B24" w14:textId="4D5FC806" w:rsidR="00C931E4" w:rsidRPr="00742551" w:rsidRDefault="00641F6C" w:rsidP="007A2600">
      <w:pPr>
        <w:tabs>
          <w:tab w:val="left" w:pos="2592"/>
        </w:tabs>
        <w:spacing w:after="0" w:line="240" w:lineRule="auto"/>
        <w:rPr>
          <w:rFonts w:ascii="Arial" w:eastAsia="Arial" w:hAnsi="Arial" w:cs="Arial"/>
          <w:bCs/>
          <w:sz w:val="22"/>
        </w:rPr>
      </w:pPr>
      <w:proofErr w:type="spellStart"/>
      <w:r>
        <w:rPr>
          <w:rFonts w:ascii="Arial" w:hAnsi="Arial"/>
          <w:sz w:val="22"/>
        </w:rPr>
        <w:t>Contemporary</w:t>
      </w:r>
      <w:proofErr w:type="spellEnd"/>
      <w:r>
        <w:rPr>
          <w:rFonts w:ascii="Arial" w:hAnsi="Arial"/>
          <w:sz w:val="22"/>
        </w:rPr>
        <w:t xml:space="preserve"> </w:t>
      </w:r>
      <w:proofErr w:type="spellStart"/>
      <w:r>
        <w:rPr>
          <w:rFonts w:ascii="Arial" w:hAnsi="Arial"/>
          <w:sz w:val="22"/>
        </w:rPr>
        <w:t>Amperex</w:t>
      </w:r>
      <w:proofErr w:type="spellEnd"/>
      <w:r>
        <w:rPr>
          <w:rFonts w:ascii="Arial" w:hAnsi="Arial"/>
          <w:sz w:val="22"/>
        </w:rPr>
        <w:t xml:space="preserve"> </w:t>
      </w:r>
      <w:proofErr w:type="spellStart"/>
      <w:r>
        <w:rPr>
          <w:rFonts w:ascii="Arial" w:hAnsi="Arial"/>
          <w:sz w:val="22"/>
        </w:rPr>
        <w:t>Technology</w:t>
      </w:r>
      <w:proofErr w:type="spellEnd"/>
      <w:r>
        <w:rPr>
          <w:rFonts w:ascii="Arial" w:hAnsi="Arial"/>
          <w:sz w:val="22"/>
        </w:rPr>
        <w:t xml:space="preserve"> Co., Limited (CATL) est un leader mondial des technologies innovantes dans le domaine des nouvelles énergies qui s’engage à fournir des solutions et des services de premier ordre pour les applications des nouvelles énergies dans le monde entier. En juin 2018, l’entreprise est entrée à la bourse de Shenzhen sous le numéro 300750. En 2022, CATL s’est classée numéro un mondial en volume de consommation de batteries de véhicules électriques pendant six années consécutives, et numéro un mondial en parts de marché pour la livraison de batteries de stockage pendant deux années consécutives. CATL est largement reconnue par les constructeurs de véhicules électriques et les spécialistes du stockage d’énergie dans le monde. Pour parvenir à remplacer les énergies fossiles stationnaires et mobiles par une alimentation électrique à haut rendement générée par des batteries de pointe et des sources d’énergie renouvelables, et pour intégrer les innovations dans les applications du marché grâce à l’électrification et à l’</w:t>
      </w:r>
      <w:proofErr w:type="spellStart"/>
      <w:r>
        <w:rPr>
          <w:rFonts w:ascii="Arial" w:hAnsi="Arial"/>
          <w:sz w:val="22"/>
        </w:rPr>
        <w:t>intelligentisation</w:t>
      </w:r>
      <w:proofErr w:type="spellEnd"/>
      <w:r>
        <w:rPr>
          <w:rFonts w:ascii="Arial" w:hAnsi="Arial"/>
          <w:sz w:val="22"/>
        </w:rPr>
        <w:t>, CATL poursuit une innovation permanente en quatre dimensions : matériaux et systèmes électrochimiques, système structurel, innovation manufacturière extrême et modèle d’entreprise.</w:t>
      </w:r>
    </w:p>
    <w:p w14:paraId="6A58E1E9" w14:textId="77777777" w:rsidR="00B91785" w:rsidRPr="00742551" w:rsidRDefault="00B91785" w:rsidP="007A2600">
      <w:pPr>
        <w:tabs>
          <w:tab w:val="left" w:pos="2592"/>
        </w:tabs>
        <w:spacing w:after="0" w:line="240" w:lineRule="auto"/>
        <w:rPr>
          <w:rFonts w:ascii="Arial" w:eastAsia="Arial" w:hAnsi="Arial" w:cs="Arial"/>
          <w:b/>
          <w:sz w:val="22"/>
        </w:rPr>
      </w:pPr>
    </w:p>
    <w:p w14:paraId="5B47F04F" w14:textId="1A43FBE0" w:rsidR="00530E96" w:rsidRPr="006A7B13" w:rsidRDefault="00530E96" w:rsidP="007A2600">
      <w:pPr>
        <w:spacing w:after="0" w:line="240" w:lineRule="auto"/>
        <w:rPr>
          <w:rFonts w:ascii="Arial" w:eastAsia="Arial" w:hAnsi="Arial" w:cs="Arial"/>
          <w:b/>
          <w:sz w:val="22"/>
        </w:rPr>
      </w:pPr>
      <w:r>
        <w:rPr>
          <w:rFonts w:ascii="Arial" w:hAnsi="Arial"/>
          <w:b/>
          <w:sz w:val="22"/>
        </w:rPr>
        <w:t>CONTACT MÉDIAS :</w:t>
      </w:r>
    </w:p>
    <w:p w14:paraId="71DAE5EE" w14:textId="77777777" w:rsidR="00530E96" w:rsidRPr="006A7B13" w:rsidRDefault="00530E96" w:rsidP="007A2600">
      <w:pPr>
        <w:spacing w:after="0" w:line="240" w:lineRule="auto"/>
        <w:rPr>
          <w:rFonts w:ascii="Arial" w:eastAsia="Arial" w:hAnsi="Arial" w:cs="Arial"/>
          <w:b/>
          <w:sz w:val="22"/>
        </w:rPr>
      </w:pPr>
    </w:p>
    <w:p w14:paraId="75B3D67E" w14:textId="77777777" w:rsidR="00530E96" w:rsidRPr="006A7B13" w:rsidRDefault="00530E96" w:rsidP="007A2600">
      <w:pPr>
        <w:spacing w:after="0" w:line="240" w:lineRule="auto"/>
        <w:rPr>
          <w:rFonts w:ascii="Arial" w:eastAsia="Arial" w:hAnsi="Arial" w:cs="Arial"/>
          <w:b/>
          <w:sz w:val="22"/>
        </w:rPr>
      </w:pPr>
      <w:proofErr w:type="spellStart"/>
      <w:r>
        <w:rPr>
          <w:rFonts w:ascii="Arial" w:hAnsi="Arial"/>
          <w:b/>
          <w:sz w:val="22"/>
        </w:rPr>
        <w:t>Fernão</w:t>
      </w:r>
      <w:proofErr w:type="spellEnd"/>
      <w:r>
        <w:rPr>
          <w:rFonts w:ascii="Arial" w:hAnsi="Arial"/>
          <w:b/>
          <w:sz w:val="22"/>
        </w:rPr>
        <w:t xml:space="preserve"> Silveira </w:t>
      </w:r>
    </w:p>
    <w:p w14:paraId="0F388382" w14:textId="77777777" w:rsidR="00530E96" w:rsidRPr="006A7B13" w:rsidRDefault="00530E96" w:rsidP="007A2600">
      <w:pPr>
        <w:spacing w:after="0" w:line="240" w:lineRule="auto"/>
        <w:rPr>
          <w:rFonts w:ascii="Arial" w:eastAsia="Arial" w:hAnsi="Arial" w:cs="Arial"/>
          <w:bCs/>
          <w:sz w:val="22"/>
        </w:rPr>
      </w:pPr>
      <w:r>
        <w:rPr>
          <w:rFonts w:ascii="Arial" w:hAnsi="Arial"/>
          <w:sz w:val="22"/>
        </w:rPr>
        <w:t>Global Communications / Stellantis</w:t>
      </w:r>
    </w:p>
    <w:p w14:paraId="0619BCB7" w14:textId="77777777" w:rsidR="00530E96" w:rsidRPr="006A7B13" w:rsidRDefault="00530E96" w:rsidP="007A2600">
      <w:pPr>
        <w:spacing w:after="0" w:line="240" w:lineRule="auto"/>
        <w:rPr>
          <w:rFonts w:ascii="Arial" w:eastAsia="Arial" w:hAnsi="Arial" w:cs="Arial"/>
          <w:bCs/>
          <w:sz w:val="22"/>
        </w:rPr>
      </w:pPr>
      <w:r>
        <w:rPr>
          <w:rFonts w:ascii="Arial" w:hAnsi="Arial"/>
          <w:sz w:val="22"/>
        </w:rPr>
        <w:t>+31 6 43 25 43 41</w:t>
      </w:r>
    </w:p>
    <w:p w14:paraId="24696B95" w14:textId="77777777" w:rsidR="00530E96" w:rsidRPr="006A7B13" w:rsidRDefault="00530E96" w:rsidP="007A2600">
      <w:pPr>
        <w:spacing w:after="0" w:line="240" w:lineRule="auto"/>
        <w:rPr>
          <w:rFonts w:ascii="Arial" w:eastAsia="Arial" w:hAnsi="Arial" w:cs="Arial"/>
          <w:bCs/>
          <w:sz w:val="22"/>
        </w:rPr>
      </w:pPr>
      <w:r>
        <w:rPr>
          <w:rFonts w:ascii="Arial" w:hAnsi="Arial"/>
          <w:sz w:val="22"/>
        </w:rPr>
        <w:t xml:space="preserve">fernao.silveira@stellantis.com </w:t>
      </w:r>
    </w:p>
    <w:p w14:paraId="7107BE3B" w14:textId="77777777" w:rsidR="00530E96" w:rsidRPr="006A7B13" w:rsidRDefault="00530E96" w:rsidP="007A2600">
      <w:pPr>
        <w:spacing w:after="0" w:line="240" w:lineRule="auto"/>
        <w:rPr>
          <w:rFonts w:ascii="Arial" w:eastAsia="Arial" w:hAnsi="Arial" w:cs="Arial"/>
          <w:bCs/>
          <w:sz w:val="22"/>
        </w:rPr>
      </w:pPr>
    </w:p>
    <w:p w14:paraId="7B510852" w14:textId="3D2289A8" w:rsidR="00530E96" w:rsidRPr="006A7B13" w:rsidRDefault="00530E96" w:rsidP="007A2600">
      <w:pPr>
        <w:spacing w:after="0" w:line="240" w:lineRule="auto"/>
        <w:rPr>
          <w:rFonts w:ascii="Arial" w:eastAsia="Arial" w:hAnsi="Arial" w:cs="Arial"/>
          <w:bCs/>
          <w:sz w:val="22"/>
        </w:rPr>
      </w:pPr>
      <w:r>
        <w:rPr>
          <w:rFonts w:ascii="Arial" w:hAnsi="Arial"/>
          <w:sz w:val="22"/>
        </w:rPr>
        <w:t xml:space="preserve">communications@stellantis.com </w:t>
      </w:r>
    </w:p>
    <w:p w14:paraId="59057ACB" w14:textId="6EB91FC8" w:rsidR="00FC360E" w:rsidRPr="006A7B13" w:rsidRDefault="00530E96" w:rsidP="007A2600">
      <w:pPr>
        <w:spacing w:after="0" w:line="240" w:lineRule="auto"/>
        <w:rPr>
          <w:rFonts w:ascii="Arial" w:eastAsia="Arial" w:hAnsi="Arial" w:cs="Arial"/>
          <w:bCs/>
          <w:sz w:val="22"/>
        </w:rPr>
      </w:pPr>
      <w:r>
        <w:rPr>
          <w:rFonts w:ascii="Arial" w:hAnsi="Arial"/>
          <w:sz w:val="22"/>
        </w:rPr>
        <w:t>www.stellantis.com</w:t>
      </w:r>
    </w:p>
    <w:p w14:paraId="6112B224" w14:textId="77777777" w:rsidR="00FC360E" w:rsidRPr="006A7B13" w:rsidRDefault="00FC360E" w:rsidP="007A2600">
      <w:pPr>
        <w:spacing w:after="0" w:line="240" w:lineRule="auto"/>
        <w:rPr>
          <w:rFonts w:ascii="Arial" w:eastAsia="Arial" w:hAnsi="Arial" w:cs="Arial"/>
          <w:b/>
          <w:sz w:val="22"/>
        </w:rPr>
      </w:pPr>
    </w:p>
    <w:p w14:paraId="50D8C7C5" w14:textId="77777777" w:rsidR="00530E96" w:rsidRPr="006A7B13" w:rsidRDefault="00530E96" w:rsidP="007A2600">
      <w:pPr>
        <w:spacing w:after="0" w:line="240" w:lineRule="auto"/>
        <w:rPr>
          <w:rFonts w:ascii="Arial" w:eastAsia="Arial" w:hAnsi="Arial" w:cs="Arial"/>
          <w:b/>
          <w:sz w:val="22"/>
        </w:rPr>
      </w:pPr>
    </w:p>
    <w:p w14:paraId="40D153EE" w14:textId="4279D470" w:rsidR="00530E96" w:rsidRPr="006A7B13" w:rsidRDefault="00480710" w:rsidP="007A2600">
      <w:pPr>
        <w:spacing w:after="0" w:line="240" w:lineRule="auto"/>
        <w:rPr>
          <w:rFonts w:ascii="Arial" w:eastAsia="Arial" w:hAnsi="Arial" w:cs="Arial"/>
          <w:b/>
          <w:sz w:val="22"/>
        </w:rPr>
      </w:pPr>
      <w:r>
        <w:rPr>
          <w:rFonts w:ascii="Arial" w:hAnsi="Arial"/>
          <w:b/>
          <w:sz w:val="22"/>
        </w:rPr>
        <w:lastRenderedPageBreak/>
        <w:t>Fred Zhang</w:t>
      </w:r>
    </w:p>
    <w:p w14:paraId="391B5B09" w14:textId="28CB80DD" w:rsidR="00480710" w:rsidRPr="006A7B13" w:rsidRDefault="00480710" w:rsidP="007A2600">
      <w:pPr>
        <w:spacing w:after="0" w:line="240" w:lineRule="auto"/>
        <w:rPr>
          <w:rFonts w:ascii="Arial" w:eastAsia="DengXian" w:hAnsi="Arial" w:cs="Arial"/>
          <w:bCs/>
          <w:sz w:val="22"/>
        </w:rPr>
      </w:pPr>
      <w:r>
        <w:rPr>
          <w:rFonts w:ascii="Arial" w:hAnsi="Arial"/>
          <w:sz w:val="22"/>
        </w:rPr>
        <w:t>International Communications /</w:t>
      </w:r>
      <w:r>
        <w:t xml:space="preserve"> </w:t>
      </w:r>
      <w:r>
        <w:rPr>
          <w:rFonts w:ascii="Arial" w:hAnsi="Arial"/>
          <w:sz w:val="22"/>
        </w:rPr>
        <w:t>CATL</w:t>
      </w:r>
    </w:p>
    <w:p w14:paraId="221B5F7A" w14:textId="6695587D" w:rsidR="006753EF" w:rsidRPr="006A7B13" w:rsidRDefault="006753EF" w:rsidP="007A2600">
      <w:pPr>
        <w:spacing w:after="0" w:line="240" w:lineRule="auto"/>
        <w:rPr>
          <w:rFonts w:ascii="Arial" w:eastAsia="DengXian" w:hAnsi="Arial" w:cs="Arial"/>
          <w:bCs/>
          <w:sz w:val="22"/>
        </w:rPr>
      </w:pPr>
      <w:r>
        <w:rPr>
          <w:rFonts w:ascii="Arial" w:hAnsi="Arial"/>
          <w:sz w:val="22"/>
        </w:rPr>
        <w:t>+86 (0)593 890 4029</w:t>
      </w:r>
    </w:p>
    <w:p w14:paraId="1A081F1D" w14:textId="7F2A7733" w:rsidR="00480710" w:rsidRPr="006A7B13" w:rsidRDefault="00000000" w:rsidP="007A2600">
      <w:pPr>
        <w:spacing w:after="0" w:line="240" w:lineRule="auto"/>
        <w:rPr>
          <w:rFonts w:ascii="Arial" w:eastAsia="DengXian" w:hAnsi="Arial" w:cs="Arial"/>
          <w:bCs/>
          <w:sz w:val="22"/>
        </w:rPr>
      </w:pPr>
      <w:hyperlink r:id="rId10" w:history="1">
        <w:r>
          <w:rPr>
            <w:rStyle w:val="Lienhypertexte"/>
            <w:rFonts w:ascii="Arial" w:hAnsi="Arial"/>
            <w:sz w:val="22"/>
          </w:rPr>
          <w:t>Zhangyz02@catl.com</w:t>
        </w:r>
      </w:hyperlink>
    </w:p>
    <w:p w14:paraId="2B03B69C" w14:textId="378C0681" w:rsidR="00480710" w:rsidRPr="00820066" w:rsidRDefault="00480710" w:rsidP="007A2600">
      <w:pPr>
        <w:spacing w:after="0" w:line="240" w:lineRule="auto"/>
        <w:rPr>
          <w:rFonts w:ascii="Arial" w:eastAsia="DengXian" w:hAnsi="Arial" w:cs="Arial"/>
          <w:bCs/>
          <w:sz w:val="22"/>
        </w:rPr>
      </w:pPr>
      <w:r>
        <w:rPr>
          <w:rFonts w:ascii="Arial" w:hAnsi="Arial"/>
          <w:sz w:val="22"/>
        </w:rPr>
        <w:t>www.catl.com</w:t>
      </w:r>
    </w:p>
    <w:p w14:paraId="40347268" w14:textId="77777777" w:rsidR="0007479D" w:rsidRPr="00820066" w:rsidRDefault="0007479D" w:rsidP="007A2600">
      <w:pPr>
        <w:spacing w:after="0" w:line="240" w:lineRule="auto"/>
        <w:rPr>
          <w:rFonts w:ascii="Arial" w:hAnsi="Arial" w:cs="Arial"/>
          <w:sz w:val="22"/>
        </w:rPr>
      </w:pPr>
    </w:p>
    <w:p w14:paraId="5F584FE7" w14:textId="6B98A248" w:rsidR="00B91785" w:rsidRPr="00820066" w:rsidRDefault="00B91785" w:rsidP="007A2600">
      <w:pPr>
        <w:spacing w:after="0" w:line="240" w:lineRule="auto"/>
        <w:rPr>
          <w:rFonts w:ascii="Arial" w:hAnsi="Arial" w:cs="Arial"/>
          <w:sz w:val="22"/>
        </w:rPr>
      </w:pPr>
    </w:p>
    <w:p w14:paraId="5996930D" w14:textId="52E7F214" w:rsidR="00B91785" w:rsidRPr="00820066" w:rsidRDefault="00B91785" w:rsidP="007A2600">
      <w:pPr>
        <w:spacing w:after="0" w:line="240" w:lineRule="auto"/>
        <w:rPr>
          <w:rFonts w:ascii="Arial" w:hAnsi="Arial" w:cs="Arial"/>
          <w:sz w:val="22"/>
        </w:rPr>
      </w:pPr>
    </w:p>
    <w:p w14:paraId="273ECAD3" w14:textId="134C7DAE" w:rsidR="00B91785" w:rsidRPr="00820066" w:rsidRDefault="00B91785" w:rsidP="007A2600">
      <w:pPr>
        <w:spacing w:after="0" w:line="240" w:lineRule="auto"/>
        <w:rPr>
          <w:rFonts w:ascii="Arial" w:hAnsi="Arial" w:cs="Arial"/>
          <w:sz w:val="22"/>
        </w:rPr>
      </w:pPr>
    </w:p>
    <w:p w14:paraId="787E3288" w14:textId="77777777" w:rsidR="006740F6" w:rsidRPr="00820066" w:rsidRDefault="006740F6" w:rsidP="007A2600">
      <w:pPr>
        <w:spacing w:after="0" w:line="240" w:lineRule="auto"/>
        <w:rPr>
          <w:rFonts w:ascii="Arial" w:hAnsi="Arial" w:cs="Arial"/>
          <w:sz w:val="22"/>
        </w:rPr>
      </w:pPr>
    </w:p>
    <w:p w14:paraId="7FB3A4E4" w14:textId="7A7C682F" w:rsidR="00B91785" w:rsidRPr="00820066" w:rsidRDefault="00B91785" w:rsidP="007A2600">
      <w:pPr>
        <w:spacing w:after="0" w:line="240" w:lineRule="auto"/>
        <w:rPr>
          <w:rFonts w:ascii="Arial" w:hAnsi="Arial" w:cs="Arial"/>
          <w:sz w:val="22"/>
        </w:rPr>
      </w:pPr>
    </w:p>
    <w:p w14:paraId="11B5C59C" w14:textId="6C8197FD" w:rsidR="00B91785" w:rsidRPr="00820066" w:rsidRDefault="00B91785" w:rsidP="007A2600">
      <w:pPr>
        <w:spacing w:after="0" w:line="240" w:lineRule="auto"/>
        <w:rPr>
          <w:rFonts w:ascii="Arial" w:hAnsi="Arial" w:cs="Arial"/>
          <w:sz w:val="22"/>
        </w:rPr>
      </w:pPr>
    </w:p>
    <w:p w14:paraId="42B0B48E" w14:textId="1B1A05E4" w:rsidR="00B91785" w:rsidRPr="00820066" w:rsidRDefault="00B91785" w:rsidP="007A2600">
      <w:pPr>
        <w:spacing w:after="0" w:line="240" w:lineRule="auto"/>
        <w:rPr>
          <w:rFonts w:ascii="Arial" w:hAnsi="Arial" w:cs="Arial"/>
          <w:sz w:val="22"/>
        </w:rPr>
      </w:pPr>
    </w:p>
    <w:p w14:paraId="751CDA32" w14:textId="779418D4" w:rsidR="00B91785" w:rsidRPr="00820066" w:rsidRDefault="00B91785" w:rsidP="007A2600">
      <w:pPr>
        <w:spacing w:after="0" w:line="240" w:lineRule="auto"/>
        <w:rPr>
          <w:rFonts w:ascii="Arial" w:hAnsi="Arial" w:cs="Arial"/>
          <w:sz w:val="22"/>
        </w:rPr>
      </w:pPr>
    </w:p>
    <w:p w14:paraId="0E4BE723" w14:textId="77777777" w:rsidR="00116FE7" w:rsidRPr="00820066" w:rsidRDefault="00116FE7" w:rsidP="007A2600">
      <w:pPr>
        <w:spacing w:after="0" w:line="240" w:lineRule="auto"/>
        <w:rPr>
          <w:rStyle w:val="im"/>
          <w:rFonts w:ascii="Arial" w:hAnsi="Arial" w:cs="Arial"/>
          <w:b/>
          <w:bCs/>
          <w:shd w:val="clear" w:color="auto" w:fill="FFFFFF"/>
        </w:rPr>
      </w:pPr>
    </w:p>
    <w:p w14:paraId="413C7821" w14:textId="77777777" w:rsidR="00116FE7" w:rsidRPr="00820066" w:rsidRDefault="00116FE7" w:rsidP="007A2600">
      <w:pPr>
        <w:spacing w:after="0" w:line="240" w:lineRule="auto"/>
        <w:rPr>
          <w:rStyle w:val="im"/>
          <w:rFonts w:ascii="Arial" w:hAnsi="Arial" w:cs="Arial"/>
          <w:b/>
          <w:bCs/>
          <w:shd w:val="clear" w:color="auto" w:fill="FFFFFF"/>
        </w:rPr>
      </w:pPr>
    </w:p>
    <w:p w14:paraId="759B62DE" w14:textId="77777777" w:rsidR="00116FE7" w:rsidRPr="00820066" w:rsidRDefault="00116FE7" w:rsidP="007A2600">
      <w:pPr>
        <w:spacing w:after="0" w:line="240" w:lineRule="auto"/>
        <w:rPr>
          <w:rStyle w:val="im"/>
          <w:rFonts w:ascii="Arial" w:hAnsi="Arial" w:cs="Arial"/>
          <w:b/>
          <w:bCs/>
          <w:shd w:val="clear" w:color="auto" w:fill="FFFFFF"/>
        </w:rPr>
      </w:pPr>
    </w:p>
    <w:p w14:paraId="76B11918" w14:textId="22694142" w:rsidR="00B31A09" w:rsidRDefault="00B31A09">
      <w:pPr>
        <w:widowControl/>
        <w:wordWrap/>
        <w:autoSpaceDE/>
        <w:autoSpaceDN/>
        <w:spacing w:after="160" w:line="259" w:lineRule="auto"/>
        <w:rPr>
          <w:rStyle w:val="im"/>
          <w:rFonts w:ascii="Arial" w:hAnsi="Arial" w:cs="Arial"/>
          <w:b/>
          <w:bCs/>
          <w:shd w:val="clear" w:color="auto" w:fill="FFFFFF"/>
        </w:rPr>
      </w:pPr>
      <w:r>
        <w:rPr>
          <w:rStyle w:val="im"/>
          <w:rFonts w:ascii="Arial" w:hAnsi="Arial" w:cs="Arial"/>
          <w:b/>
          <w:bCs/>
          <w:shd w:val="clear" w:color="auto" w:fill="FFFFFF"/>
        </w:rPr>
        <w:br w:type="page"/>
      </w:r>
    </w:p>
    <w:p w14:paraId="3AF9435D" w14:textId="77777777" w:rsidR="00116FE7" w:rsidRPr="00820066" w:rsidRDefault="00116FE7" w:rsidP="007A2600">
      <w:pPr>
        <w:spacing w:after="0" w:line="240" w:lineRule="auto"/>
        <w:rPr>
          <w:rStyle w:val="im"/>
          <w:rFonts w:ascii="Arial" w:hAnsi="Arial" w:cs="Arial"/>
          <w:b/>
          <w:bCs/>
          <w:shd w:val="clear" w:color="auto" w:fill="FFFFFF"/>
        </w:rPr>
      </w:pPr>
    </w:p>
    <w:p w14:paraId="0F59D8D1" w14:textId="422645FC" w:rsidR="00C3279A" w:rsidRPr="00742551" w:rsidRDefault="00C3279A" w:rsidP="007A2600">
      <w:pPr>
        <w:spacing w:after="0" w:line="240" w:lineRule="auto"/>
        <w:rPr>
          <w:rStyle w:val="im"/>
          <w:rFonts w:ascii="Arial" w:hAnsi="Arial" w:cs="Arial"/>
          <w:b/>
          <w:bCs/>
          <w:shd w:val="clear" w:color="auto" w:fill="FFFFFF"/>
        </w:rPr>
      </w:pPr>
      <w:r>
        <w:rPr>
          <w:rStyle w:val="im"/>
          <w:rFonts w:ascii="Arial" w:hAnsi="Arial"/>
          <w:b/>
          <w:shd w:val="clear" w:color="auto" w:fill="FFFFFF"/>
        </w:rPr>
        <w:t>DÉCLARATIONS PROSPECTIVES DE STELLANTIS</w:t>
      </w:r>
    </w:p>
    <w:p w14:paraId="04DF87AC" w14:textId="77777777" w:rsidR="00C3279A" w:rsidRPr="00742551" w:rsidRDefault="00C3279A" w:rsidP="007A2600">
      <w:pPr>
        <w:spacing w:after="0" w:line="240" w:lineRule="auto"/>
        <w:rPr>
          <w:rStyle w:val="im"/>
          <w:rFonts w:ascii="Arial" w:hAnsi="Arial" w:cs="Arial"/>
          <w:shd w:val="clear" w:color="auto" w:fill="FFFFFF"/>
        </w:rPr>
      </w:pPr>
      <w:r>
        <w:rPr>
          <w:rStyle w:val="im"/>
          <w:rFonts w:ascii="Arial" w:hAnsi="Arial"/>
          <w:shd w:val="clear" w:color="auto" w:fill="FFFFFF"/>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Pr>
          <w:rStyle w:val="im"/>
          <w:rFonts w:ascii="Arial" w:hAnsi="Arial"/>
          <w:shd w:val="clear" w:color="auto" w:fill="FFFFFF"/>
        </w:rPr>
        <w:t>suite à</w:t>
      </w:r>
      <w:proofErr w:type="gramEnd"/>
      <w:r>
        <w:rPr>
          <w:rStyle w:val="im"/>
          <w:rFonts w:ascii="Arial" w:hAnsi="Arial"/>
          <w:shd w:val="clear" w:color="auto" w:fill="FFFFFF"/>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w:t>
      </w:r>
      <w:proofErr w:type="gramStart"/>
      <w:r>
        <w:rPr>
          <w:rStyle w:val="im"/>
          <w:rFonts w:ascii="Arial" w:hAnsi="Arial"/>
          <w:shd w:val="clear" w:color="auto" w:fill="FFFFFF"/>
        </w:rPr>
        <w:t>de par</w:t>
      </w:r>
      <w:proofErr w:type="gramEnd"/>
      <w:r>
        <w:rPr>
          <w:rStyle w:val="im"/>
          <w:rFonts w:ascii="Arial" w:hAnsi="Arial"/>
          <w:shd w:val="clear" w:color="auto" w:fill="FFFFFF"/>
        </w:rPr>
        <w:t xml:space="preserve">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0E647860" w14:textId="77777777" w:rsidR="00C3279A" w:rsidRPr="00742551" w:rsidRDefault="00C3279A" w:rsidP="007A2600">
      <w:pPr>
        <w:spacing w:after="0" w:line="240" w:lineRule="auto"/>
        <w:rPr>
          <w:rStyle w:val="im"/>
          <w:rFonts w:ascii="Arial" w:hAnsi="Arial" w:cs="Arial"/>
          <w:shd w:val="clear" w:color="auto" w:fill="FFFFFF"/>
        </w:rPr>
      </w:pPr>
    </w:p>
    <w:p w14:paraId="3F6AB8C4" w14:textId="77777777" w:rsidR="00C3279A" w:rsidRPr="00742551" w:rsidRDefault="00C3279A" w:rsidP="007A2600">
      <w:pPr>
        <w:spacing w:after="0" w:line="240" w:lineRule="auto"/>
        <w:rPr>
          <w:rStyle w:val="im"/>
          <w:rFonts w:ascii="Arial" w:hAnsi="Arial" w:cs="Arial"/>
          <w:shd w:val="clear" w:color="auto" w:fill="FFFFFF"/>
        </w:rPr>
      </w:pPr>
      <w:r>
        <w:rPr>
          <w:rStyle w:val="im"/>
          <w:rFonts w:ascii="Arial" w:hAnsi="Arial"/>
          <w:shd w:val="clear" w:color="auto" w:fill="FFFFFF"/>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7C3F1263" w14:textId="77777777" w:rsidR="00C3279A" w:rsidRPr="00742551" w:rsidRDefault="00C3279A" w:rsidP="007A2600">
      <w:pPr>
        <w:spacing w:after="0" w:line="240" w:lineRule="auto"/>
        <w:rPr>
          <w:rStyle w:val="im"/>
          <w:rFonts w:ascii="Arial" w:hAnsi="Arial" w:cs="Arial"/>
          <w:shd w:val="clear" w:color="auto" w:fill="FFFFFF"/>
        </w:rPr>
      </w:pPr>
    </w:p>
    <w:p w14:paraId="4BC109DC" w14:textId="1AB16258" w:rsidR="00CE6AA6" w:rsidRPr="00C3279A" w:rsidRDefault="00C3279A" w:rsidP="007A2600">
      <w:pPr>
        <w:spacing w:after="0" w:line="240" w:lineRule="auto"/>
        <w:rPr>
          <w:i/>
        </w:rPr>
      </w:pPr>
      <w:r>
        <w:rPr>
          <w:rStyle w:val="im"/>
          <w:rFonts w:ascii="Arial" w:hAnsi="Arial"/>
          <w:shd w:val="clear" w:color="auto" w:fill="FFFFFF"/>
        </w:rPr>
        <w:t xml:space="preserve">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w:t>
      </w:r>
      <w:r>
        <w:rPr>
          <w:rStyle w:val="im"/>
          <w:rFonts w:ascii="Arial" w:hAnsi="Arial"/>
          <w:shd w:val="clear" w:color="auto" w:fill="FFFFFF"/>
        </w:rPr>
        <w:lastRenderedPageBreak/>
        <w:t>y compris les facteurs susceptibles d’impacter de manière significative les résultats financiers de Stellantis, sont incluses dans les rapports et dossiers de Stellantis déposés auprès de l’U.S. Securities and Exchange Commission et de l’AFM.</w:t>
      </w:r>
    </w:p>
    <w:sectPr w:rsidR="00CE6AA6" w:rsidRPr="00C3279A" w:rsidSect="00F52E65">
      <w:headerReference w:type="default" r:id="rId11"/>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F37D0" w14:textId="77777777" w:rsidR="00EA12E2" w:rsidRDefault="00EA12E2" w:rsidP="005C18FB">
      <w:pPr>
        <w:spacing w:after="0" w:line="240" w:lineRule="auto"/>
      </w:pPr>
      <w:r>
        <w:separator/>
      </w:r>
    </w:p>
  </w:endnote>
  <w:endnote w:type="continuationSeparator" w:id="0">
    <w:p w14:paraId="04A7C5B1" w14:textId="77777777" w:rsidR="00EA12E2" w:rsidRDefault="00EA12E2" w:rsidP="005C18FB">
      <w:pPr>
        <w:spacing w:after="0" w:line="240" w:lineRule="auto"/>
      </w:pPr>
      <w:r>
        <w:continuationSeparator/>
      </w:r>
    </w:p>
  </w:endnote>
  <w:endnote w:type="continuationNotice" w:id="1">
    <w:p w14:paraId="4C470C3B" w14:textId="77777777" w:rsidR="00EA12E2" w:rsidRDefault="00EA12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4830" w14:textId="77777777" w:rsidR="00EA12E2" w:rsidRDefault="00EA12E2" w:rsidP="005C18FB">
      <w:pPr>
        <w:spacing w:after="0" w:line="240" w:lineRule="auto"/>
      </w:pPr>
      <w:bookmarkStart w:id="0" w:name="_Hlk139880138"/>
      <w:bookmarkEnd w:id="0"/>
      <w:r>
        <w:separator/>
      </w:r>
    </w:p>
  </w:footnote>
  <w:footnote w:type="continuationSeparator" w:id="0">
    <w:p w14:paraId="6B9E2902" w14:textId="77777777" w:rsidR="00EA12E2" w:rsidRDefault="00EA12E2" w:rsidP="005C18FB">
      <w:pPr>
        <w:spacing w:after="0" w:line="240" w:lineRule="auto"/>
      </w:pPr>
      <w:r>
        <w:continuationSeparator/>
      </w:r>
    </w:p>
  </w:footnote>
  <w:footnote w:type="continuationNotice" w:id="1">
    <w:p w14:paraId="3F595052" w14:textId="77777777" w:rsidR="00EA12E2" w:rsidRDefault="00EA12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AE75" w14:textId="6AF349D4" w:rsidR="00184269" w:rsidRDefault="00336FA1" w:rsidP="00336FA1">
    <w:pPr>
      <w:pStyle w:val="En-tte"/>
      <w:jc w:val="left"/>
    </w:pPr>
    <w:r>
      <w:rPr>
        <w:noProof/>
      </w:rPr>
      <w:drawing>
        <wp:inline distT="0" distB="0" distL="0" distR="0" wp14:anchorId="081FF7A7" wp14:editId="25243714">
          <wp:extent cx="1600200" cy="760800"/>
          <wp:effectExtent l="0" t="0" r="0" b="0"/>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rotWithShape="1">
                  <a:blip r:embed="rId1">
                    <a:extLst>
                      <a:ext uri="{28A0092B-C50C-407E-A947-70E740481C1C}">
                        <a14:useLocalDpi xmlns:a14="http://schemas.microsoft.com/office/drawing/2010/main" val="0"/>
                      </a:ext>
                    </a:extLst>
                  </a:blip>
                  <a:srcRect b="28680"/>
                  <a:stretch/>
                </pic:blipFill>
                <pic:spPr bwMode="auto">
                  <a:xfrm>
                    <a:off x="0" y="0"/>
                    <a:ext cx="1628528" cy="774268"/>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7C14757C" wp14:editId="04E43083">
          <wp:extent cx="2351455" cy="603885"/>
          <wp:effectExtent l="0" t="0" r="0" b="571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18479" cy="621098"/>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729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E0Nbc0NjW2NLM0MzFW0lEKTi0uzszPAykwrAUAh5LylCwAAAA="/>
  </w:docVars>
  <w:rsids>
    <w:rsidRoot w:val="005C18FB"/>
    <w:rsid w:val="000021FC"/>
    <w:rsid w:val="0000501C"/>
    <w:rsid w:val="00023A6E"/>
    <w:rsid w:val="00030215"/>
    <w:rsid w:val="000462B9"/>
    <w:rsid w:val="000509BD"/>
    <w:rsid w:val="00052932"/>
    <w:rsid w:val="00056A45"/>
    <w:rsid w:val="00060B4C"/>
    <w:rsid w:val="00061EF5"/>
    <w:rsid w:val="000664A3"/>
    <w:rsid w:val="0007053F"/>
    <w:rsid w:val="00072F4E"/>
    <w:rsid w:val="0007479D"/>
    <w:rsid w:val="00083FEF"/>
    <w:rsid w:val="00085B8B"/>
    <w:rsid w:val="00087F5F"/>
    <w:rsid w:val="000903BB"/>
    <w:rsid w:val="00091B76"/>
    <w:rsid w:val="00094E5F"/>
    <w:rsid w:val="000A1BB1"/>
    <w:rsid w:val="000A2638"/>
    <w:rsid w:val="000A3471"/>
    <w:rsid w:val="000A58CB"/>
    <w:rsid w:val="000A771D"/>
    <w:rsid w:val="000B100A"/>
    <w:rsid w:val="000B4467"/>
    <w:rsid w:val="000C0A30"/>
    <w:rsid w:val="000D0398"/>
    <w:rsid w:val="000D30AC"/>
    <w:rsid w:val="000D5583"/>
    <w:rsid w:val="000E1F9E"/>
    <w:rsid w:val="000E4CE5"/>
    <w:rsid w:val="000E631E"/>
    <w:rsid w:val="000F6C48"/>
    <w:rsid w:val="000F7DB5"/>
    <w:rsid w:val="001050DA"/>
    <w:rsid w:val="00116FE7"/>
    <w:rsid w:val="00124DD5"/>
    <w:rsid w:val="00137F00"/>
    <w:rsid w:val="00167725"/>
    <w:rsid w:val="00167900"/>
    <w:rsid w:val="00184269"/>
    <w:rsid w:val="00194CA4"/>
    <w:rsid w:val="00196D9C"/>
    <w:rsid w:val="001C0C01"/>
    <w:rsid w:val="001C71FF"/>
    <w:rsid w:val="001D23CC"/>
    <w:rsid w:val="001E3C0F"/>
    <w:rsid w:val="001E40DC"/>
    <w:rsid w:val="001E6AAC"/>
    <w:rsid w:val="001E7E47"/>
    <w:rsid w:val="001E7F73"/>
    <w:rsid w:val="001F2D9D"/>
    <w:rsid w:val="00205671"/>
    <w:rsid w:val="0020699B"/>
    <w:rsid w:val="00224899"/>
    <w:rsid w:val="002376AE"/>
    <w:rsid w:val="00241073"/>
    <w:rsid w:val="002438F1"/>
    <w:rsid w:val="00251D8A"/>
    <w:rsid w:val="00253A4C"/>
    <w:rsid w:val="00256312"/>
    <w:rsid w:val="002658B8"/>
    <w:rsid w:val="00276923"/>
    <w:rsid w:val="00280A53"/>
    <w:rsid w:val="00280E58"/>
    <w:rsid w:val="002811CE"/>
    <w:rsid w:val="002972A8"/>
    <w:rsid w:val="002A0C3F"/>
    <w:rsid w:val="002A2B31"/>
    <w:rsid w:val="002B05E2"/>
    <w:rsid w:val="002B247F"/>
    <w:rsid w:val="002B3481"/>
    <w:rsid w:val="002B7691"/>
    <w:rsid w:val="002C1C43"/>
    <w:rsid w:val="002C2C09"/>
    <w:rsid w:val="002C7C7D"/>
    <w:rsid w:val="002E5974"/>
    <w:rsid w:val="002F2BBB"/>
    <w:rsid w:val="00300D4F"/>
    <w:rsid w:val="003014F8"/>
    <w:rsid w:val="00306B6A"/>
    <w:rsid w:val="003141F6"/>
    <w:rsid w:val="00320693"/>
    <w:rsid w:val="00320CE5"/>
    <w:rsid w:val="00321107"/>
    <w:rsid w:val="003249D2"/>
    <w:rsid w:val="00336FA1"/>
    <w:rsid w:val="00343AB6"/>
    <w:rsid w:val="00346049"/>
    <w:rsid w:val="003628BB"/>
    <w:rsid w:val="00365C49"/>
    <w:rsid w:val="00370FBE"/>
    <w:rsid w:val="00374CAB"/>
    <w:rsid w:val="003762CE"/>
    <w:rsid w:val="00377454"/>
    <w:rsid w:val="0038506D"/>
    <w:rsid w:val="003939D4"/>
    <w:rsid w:val="00394F0D"/>
    <w:rsid w:val="003963F6"/>
    <w:rsid w:val="003A453F"/>
    <w:rsid w:val="003B1C01"/>
    <w:rsid w:val="003B7109"/>
    <w:rsid w:val="003C132F"/>
    <w:rsid w:val="003C2B71"/>
    <w:rsid w:val="003C7A8B"/>
    <w:rsid w:val="003D3FC4"/>
    <w:rsid w:val="003D7213"/>
    <w:rsid w:val="003E0D73"/>
    <w:rsid w:val="003E6DAA"/>
    <w:rsid w:val="003F03F9"/>
    <w:rsid w:val="003F6E86"/>
    <w:rsid w:val="0040099D"/>
    <w:rsid w:val="0040686A"/>
    <w:rsid w:val="00420839"/>
    <w:rsid w:val="00422989"/>
    <w:rsid w:val="00430FF5"/>
    <w:rsid w:val="00433373"/>
    <w:rsid w:val="004348F9"/>
    <w:rsid w:val="004357F3"/>
    <w:rsid w:val="0044441C"/>
    <w:rsid w:val="00450F5B"/>
    <w:rsid w:val="00455EAF"/>
    <w:rsid w:val="00457EA7"/>
    <w:rsid w:val="004653CC"/>
    <w:rsid w:val="00466925"/>
    <w:rsid w:val="00480710"/>
    <w:rsid w:val="00480D5E"/>
    <w:rsid w:val="00483312"/>
    <w:rsid w:val="00483F97"/>
    <w:rsid w:val="00487036"/>
    <w:rsid w:val="00493627"/>
    <w:rsid w:val="00496B07"/>
    <w:rsid w:val="004B25B8"/>
    <w:rsid w:val="004B4DA8"/>
    <w:rsid w:val="004B5A94"/>
    <w:rsid w:val="004B5E3B"/>
    <w:rsid w:val="004C0F5B"/>
    <w:rsid w:val="004C2DFB"/>
    <w:rsid w:val="004C5984"/>
    <w:rsid w:val="004C715A"/>
    <w:rsid w:val="004D2215"/>
    <w:rsid w:val="004F525E"/>
    <w:rsid w:val="00504954"/>
    <w:rsid w:val="00530E96"/>
    <w:rsid w:val="00531AAB"/>
    <w:rsid w:val="00531FE6"/>
    <w:rsid w:val="005336A5"/>
    <w:rsid w:val="00535505"/>
    <w:rsid w:val="00556DFE"/>
    <w:rsid w:val="00563E19"/>
    <w:rsid w:val="00566BD0"/>
    <w:rsid w:val="00571CD5"/>
    <w:rsid w:val="00572F5B"/>
    <w:rsid w:val="00572F61"/>
    <w:rsid w:val="00584DA4"/>
    <w:rsid w:val="00591E94"/>
    <w:rsid w:val="005964BD"/>
    <w:rsid w:val="005A0712"/>
    <w:rsid w:val="005A46A2"/>
    <w:rsid w:val="005A49A6"/>
    <w:rsid w:val="005B4C52"/>
    <w:rsid w:val="005C18FB"/>
    <w:rsid w:val="005C22E7"/>
    <w:rsid w:val="005C5663"/>
    <w:rsid w:val="005C636E"/>
    <w:rsid w:val="005D2804"/>
    <w:rsid w:val="005D29FA"/>
    <w:rsid w:val="005D659E"/>
    <w:rsid w:val="005E0086"/>
    <w:rsid w:val="005E32F9"/>
    <w:rsid w:val="005E7310"/>
    <w:rsid w:val="00624529"/>
    <w:rsid w:val="00630C93"/>
    <w:rsid w:val="0063132B"/>
    <w:rsid w:val="00633B1A"/>
    <w:rsid w:val="00636D06"/>
    <w:rsid w:val="006376ED"/>
    <w:rsid w:val="006400E9"/>
    <w:rsid w:val="00641F6C"/>
    <w:rsid w:val="00645666"/>
    <w:rsid w:val="00664CBA"/>
    <w:rsid w:val="006740F6"/>
    <w:rsid w:val="006753EF"/>
    <w:rsid w:val="00683A89"/>
    <w:rsid w:val="00684FCA"/>
    <w:rsid w:val="00693A7D"/>
    <w:rsid w:val="00695E53"/>
    <w:rsid w:val="006A1ED6"/>
    <w:rsid w:val="006A5724"/>
    <w:rsid w:val="006A7B13"/>
    <w:rsid w:val="006B3D73"/>
    <w:rsid w:val="006C719D"/>
    <w:rsid w:val="006C7BA7"/>
    <w:rsid w:val="006D2131"/>
    <w:rsid w:val="006D34B2"/>
    <w:rsid w:val="006D5382"/>
    <w:rsid w:val="006E3C45"/>
    <w:rsid w:val="006E71FF"/>
    <w:rsid w:val="006F4F12"/>
    <w:rsid w:val="006F6C3B"/>
    <w:rsid w:val="00700625"/>
    <w:rsid w:val="00701879"/>
    <w:rsid w:val="00706142"/>
    <w:rsid w:val="00706216"/>
    <w:rsid w:val="00706635"/>
    <w:rsid w:val="00707F0F"/>
    <w:rsid w:val="00710B32"/>
    <w:rsid w:val="00717512"/>
    <w:rsid w:val="00734C76"/>
    <w:rsid w:val="00742551"/>
    <w:rsid w:val="00747645"/>
    <w:rsid w:val="0075149D"/>
    <w:rsid w:val="00757802"/>
    <w:rsid w:val="00762A41"/>
    <w:rsid w:val="007662EE"/>
    <w:rsid w:val="007718D4"/>
    <w:rsid w:val="00776C91"/>
    <w:rsid w:val="007820FE"/>
    <w:rsid w:val="00796717"/>
    <w:rsid w:val="007A11ED"/>
    <w:rsid w:val="007A182D"/>
    <w:rsid w:val="007A2600"/>
    <w:rsid w:val="007A4929"/>
    <w:rsid w:val="007B2A6E"/>
    <w:rsid w:val="007D2F7F"/>
    <w:rsid w:val="007D4B3E"/>
    <w:rsid w:val="007D5BB3"/>
    <w:rsid w:val="007D7C03"/>
    <w:rsid w:val="007F0E09"/>
    <w:rsid w:val="007F6591"/>
    <w:rsid w:val="008007F2"/>
    <w:rsid w:val="008024B3"/>
    <w:rsid w:val="00804B7B"/>
    <w:rsid w:val="00820066"/>
    <w:rsid w:val="0082685E"/>
    <w:rsid w:val="00830308"/>
    <w:rsid w:val="00830479"/>
    <w:rsid w:val="0085134B"/>
    <w:rsid w:val="00865397"/>
    <w:rsid w:val="00866FFB"/>
    <w:rsid w:val="008750C5"/>
    <w:rsid w:val="00881420"/>
    <w:rsid w:val="00886319"/>
    <w:rsid w:val="0088669E"/>
    <w:rsid w:val="00894703"/>
    <w:rsid w:val="0089537B"/>
    <w:rsid w:val="00897EB8"/>
    <w:rsid w:val="008A10A3"/>
    <w:rsid w:val="008B1463"/>
    <w:rsid w:val="008C661C"/>
    <w:rsid w:val="008E0ED6"/>
    <w:rsid w:val="008E72BC"/>
    <w:rsid w:val="009074F1"/>
    <w:rsid w:val="00907F31"/>
    <w:rsid w:val="0092262A"/>
    <w:rsid w:val="009273D7"/>
    <w:rsid w:val="00927FB8"/>
    <w:rsid w:val="009403BA"/>
    <w:rsid w:val="0094211F"/>
    <w:rsid w:val="00942D14"/>
    <w:rsid w:val="00956C4D"/>
    <w:rsid w:val="00965494"/>
    <w:rsid w:val="0096567D"/>
    <w:rsid w:val="00994A88"/>
    <w:rsid w:val="009B3052"/>
    <w:rsid w:val="009B34BB"/>
    <w:rsid w:val="009B45A3"/>
    <w:rsid w:val="009C3C7C"/>
    <w:rsid w:val="009C61CF"/>
    <w:rsid w:val="009F6A21"/>
    <w:rsid w:val="00A00997"/>
    <w:rsid w:val="00A00F0B"/>
    <w:rsid w:val="00A02128"/>
    <w:rsid w:val="00A03072"/>
    <w:rsid w:val="00A16089"/>
    <w:rsid w:val="00A17B59"/>
    <w:rsid w:val="00A2675F"/>
    <w:rsid w:val="00A414A8"/>
    <w:rsid w:val="00A46D29"/>
    <w:rsid w:val="00A56AC6"/>
    <w:rsid w:val="00A61128"/>
    <w:rsid w:val="00A66CD5"/>
    <w:rsid w:val="00A757D6"/>
    <w:rsid w:val="00A76972"/>
    <w:rsid w:val="00A83300"/>
    <w:rsid w:val="00A977C7"/>
    <w:rsid w:val="00AA3778"/>
    <w:rsid w:val="00AB2E64"/>
    <w:rsid w:val="00AC5747"/>
    <w:rsid w:val="00AC60BD"/>
    <w:rsid w:val="00AD584E"/>
    <w:rsid w:val="00AE1753"/>
    <w:rsid w:val="00AE6195"/>
    <w:rsid w:val="00B118EC"/>
    <w:rsid w:val="00B13D6C"/>
    <w:rsid w:val="00B31A09"/>
    <w:rsid w:val="00B35EED"/>
    <w:rsid w:val="00B36A08"/>
    <w:rsid w:val="00B41A9F"/>
    <w:rsid w:val="00B4680B"/>
    <w:rsid w:val="00B47AE0"/>
    <w:rsid w:val="00B50755"/>
    <w:rsid w:val="00B64A28"/>
    <w:rsid w:val="00B67462"/>
    <w:rsid w:val="00B74B22"/>
    <w:rsid w:val="00B752DF"/>
    <w:rsid w:val="00B77FC0"/>
    <w:rsid w:val="00B84C81"/>
    <w:rsid w:val="00B860F2"/>
    <w:rsid w:val="00B91785"/>
    <w:rsid w:val="00B9411E"/>
    <w:rsid w:val="00BA56F2"/>
    <w:rsid w:val="00BA7C3A"/>
    <w:rsid w:val="00BC4FE8"/>
    <w:rsid w:val="00BC74AF"/>
    <w:rsid w:val="00BD6BE3"/>
    <w:rsid w:val="00BE1991"/>
    <w:rsid w:val="00BE1A93"/>
    <w:rsid w:val="00BF3AFB"/>
    <w:rsid w:val="00C05118"/>
    <w:rsid w:val="00C1705B"/>
    <w:rsid w:val="00C21D55"/>
    <w:rsid w:val="00C3279A"/>
    <w:rsid w:val="00C4557F"/>
    <w:rsid w:val="00C521C4"/>
    <w:rsid w:val="00C54891"/>
    <w:rsid w:val="00C6037C"/>
    <w:rsid w:val="00C60404"/>
    <w:rsid w:val="00C61A4B"/>
    <w:rsid w:val="00C628B0"/>
    <w:rsid w:val="00C9029D"/>
    <w:rsid w:val="00C931E4"/>
    <w:rsid w:val="00CA1CB5"/>
    <w:rsid w:val="00CA3432"/>
    <w:rsid w:val="00CB109A"/>
    <w:rsid w:val="00CD0D2D"/>
    <w:rsid w:val="00CD3D45"/>
    <w:rsid w:val="00CD62A5"/>
    <w:rsid w:val="00CE1756"/>
    <w:rsid w:val="00CE6AA6"/>
    <w:rsid w:val="00CF467D"/>
    <w:rsid w:val="00D0448F"/>
    <w:rsid w:val="00D0578F"/>
    <w:rsid w:val="00D25B44"/>
    <w:rsid w:val="00D26A31"/>
    <w:rsid w:val="00D60CF5"/>
    <w:rsid w:val="00D63A40"/>
    <w:rsid w:val="00D671BE"/>
    <w:rsid w:val="00D725CB"/>
    <w:rsid w:val="00D74CC8"/>
    <w:rsid w:val="00D74DE2"/>
    <w:rsid w:val="00D8190D"/>
    <w:rsid w:val="00D86C18"/>
    <w:rsid w:val="00D9100E"/>
    <w:rsid w:val="00D92195"/>
    <w:rsid w:val="00D92DD3"/>
    <w:rsid w:val="00DB28B3"/>
    <w:rsid w:val="00DB3ECD"/>
    <w:rsid w:val="00DB6585"/>
    <w:rsid w:val="00DC0A0B"/>
    <w:rsid w:val="00DC157E"/>
    <w:rsid w:val="00DC59C6"/>
    <w:rsid w:val="00DC6B38"/>
    <w:rsid w:val="00DC7EBF"/>
    <w:rsid w:val="00DE0F0F"/>
    <w:rsid w:val="00DE142F"/>
    <w:rsid w:val="00E055DA"/>
    <w:rsid w:val="00E07170"/>
    <w:rsid w:val="00E2456D"/>
    <w:rsid w:val="00E32572"/>
    <w:rsid w:val="00E46CDC"/>
    <w:rsid w:val="00E60996"/>
    <w:rsid w:val="00E66A11"/>
    <w:rsid w:val="00E70FFD"/>
    <w:rsid w:val="00E75223"/>
    <w:rsid w:val="00E81D29"/>
    <w:rsid w:val="00EA12E2"/>
    <w:rsid w:val="00EA6CF4"/>
    <w:rsid w:val="00EA73D3"/>
    <w:rsid w:val="00EA7AD7"/>
    <w:rsid w:val="00EA7D05"/>
    <w:rsid w:val="00EA7F09"/>
    <w:rsid w:val="00EB2A17"/>
    <w:rsid w:val="00EB7FE9"/>
    <w:rsid w:val="00ED0953"/>
    <w:rsid w:val="00EE2B25"/>
    <w:rsid w:val="00EE3804"/>
    <w:rsid w:val="00EE3E3C"/>
    <w:rsid w:val="00EE7CB8"/>
    <w:rsid w:val="00EF62C4"/>
    <w:rsid w:val="00F0146E"/>
    <w:rsid w:val="00F05AC7"/>
    <w:rsid w:val="00F146A7"/>
    <w:rsid w:val="00F15499"/>
    <w:rsid w:val="00F21B43"/>
    <w:rsid w:val="00F330A8"/>
    <w:rsid w:val="00F36D64"/>
    <w:rsid w:val="00F460EF"/>
    <w:rsid w:val="00F475E5"/>
    <w:rsid w:val="00F51D58"/>
    <w:rsid w:val="00F52E65"/>
    <w:rsid w:val="00F541DE"/>
    <w:rsid w:val="00F571A4"/>
    <w:rsid w:val="00F62B02"/>
    <w:rsid w:val="00F64CE2"/>
    <w:rsid w:val="00F75034"/>
    <w:rsid w:val="00F90891"/>
    <w:rsid w:val="00F917C1"/>
    <w:rsid w:val="00F96DE7"/>
    <w:rsid w:val="00F97EDB"/>
    <w:rsid w:val="00FA6852"/>
    <w:rsid w:val="00FC098A"/>
    <w:rsid w:val="00FC360E"/>
    <w:rsid w:val="00FD04D7"/>
    <w:rsid w:val="00FE2BEC"/>
    <w:rsid w:val="00FE5C28"/>
    <w:rsid w:val="00FF45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fr-FR"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18FB"/>
    <w:pPr>
      <w:tabs>
        <w:tab w:val="center" w:pos="4513"/>
        <w:tab w:val="right" w:pos="9026"/>
      </w:tabs>
      <w:snapToGrid w:val="0"/>
    </w:pPr>
  </w:style>
  <w:style w:type="character" w:customStyle="1" w:styleId="En-tteCar">
    <w:name w:val="En-tête Car"/>
    <w:basedOn w:val="Policepardfaut"/>
    <w:link w:val="En-tte"/>
    <w:uiPriority w:val="99"/>
    <w:rsid w:val="005C18FB"/>
  </w:style>
  <w:style w:type="paragraph" w:styleId="Pieddepage">
    <w:name w:val="footer"/>
    <w:basedOn w:val="Normal"/>
    <w:link w:val="PieddepageCar"/>
    <w:uiPriority w:val="99"/>
    <w:unhideWhenUsed/>
    <w:rsid w:val="005C18FB"/>
    <w:pPr>
      <w:tabs>
        <w:tab w:val="center" w:pos="4513"/>
        <w:tab w:val="right" w:pos="9026"/>
      </w:tabs>
      <w:snapToGrid w:val="0"/>
    </w:pPr>
  </w:style>
  <w:style w:type="character" w:customStyle="1" w:styleId="PieddepageCar">
    <w:name w:val="Pied de page Car"/>
    <w:basedOn w:val="Policepardfaut"/>
    <w:link w:val="Pieddepage"/>
    <w:uiPriority w:val="99"/>
    <w:rsid w:val="005C18FB"/>
  </w:style>
  <w:style w:type="character" w:styleId="Lienhypertexte">
    <w:name w:val="Hyperlink"/>
    <w:uiPriority w:val="99"/>
    <w:rsid w:val="00C21D55"/>
    <w:rPr>
      <w:color w:val="0000FF"/>
      <w:u w:val="single"/>
    </w:rPr>
  </w:style>
  <w:style w:type="paragraph" w:styleId="Textedebulles">
    <w:name w:val="Balloon Text"/>
    <w:basedOn w:val="Normal"/>
    <w:link w:val="TextedebullesC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496B07"/>
    <w:rPr>
      <w:rFonts w:asciiTheme="majorHAnsi" w:eastAsiaTheme="majorEastAsia" w:hAnsiTheme="majorHAnsi" w:cstheme="majorBidi"/>
      <w:sz w:val="18"/>
      <w:szCs w:val="18"/>
    </w:rPr>
  </w:style>
  <w:style w:type="character" w:styleId="Marquedecommentaire">
    <w:name w:val="annotation reference"/>
    <w:basedOn w:val="Policepardfaut"/>
    <w:uiPriority w:val="99"/>
    <w:semiHidden/>
    <w:unhideWhenUsed/>
    <w:rsid w:val="00205671"/>
    <w:rPr>
      <w:sz w:val="16"/>
      <w:szCs w:val="16"/>
    </w:rPr>
  </w:style>
  <w:style w:type="paragraph" w:styleId="Commentaire">
    <w:name w:val="annotation text"/>
    <w:basedOn w:val="Normal"/>
    <w:link w:val="CommentaireCar"/>
    <w:uiPriority w:val="99"/>
    <w:unhideWhenUsed/>
    <w:rsid w:val="00205671"/>
    <w:pPr>
      <w:spacing w:line="240" w:lineRule="auto"/>
    </w:pPr>
    <w:rPr>
      <w:szCs w:val="20"/>
    </w:rPr>
  </w:style>
  <w:style w:type="character" w:customStyle="1" w:styleId="CommentaireCar">
    <w:name w:val="Commentaire Car"/>
    <w:basedOn w:val="Policepardfaut"/>
    <w:link w:val="Commentaire"/>
    <w:uiPriority w:val="99"/>
    <w:rsid w:val="00205671"/>
    <w:rPr>
      <w:szCs w:val="20"/>
    </w:rPr>
  </w:style>
  <w:style w:type="character" w:customStyle="1" w:styleId="im">
    <w:name w:val="im"/>
    <w:basedOn w:val="Policepardfaut"/>
    <w:rsid w:val="00EE7CB8"/>
  </w:style>
  <w:style w:type="paragraph" w:styleId="Objetducommentaire">
    <w:name w:val="annotation subject"/>
    <w:basedOn w:val="Commentaire"/>
    <w:next w:val="Commentaire"/>
    <w:link w:val="ObjetducommentaireCar"/>
    <w:uiPriority w:val="99"/>
    <w:semiHidden/>
    <w:unhideWhenUsed/>
    <w:rsid w:val="00B91785"/>
    <w:rPr>
      <w:b/>
      <w:bCs/>
    </w:rPr>
  </w:style>
  <w:style w:type="character" w:customStyle="1" w:styleId="ObjetducommentaireCar">
    <w:name w:val="Objet du commentaire Car"/>
    <w:basedOn w:val="CommentaireCar"/>
    <w:link w:val="Objetducommentaire"/>
    <w:uiPriority w:val="99"/>
    <w:semiHidden/>
    <w:rsid w:val="00B91785"/>
    <w:rPr>
      <w:b/>
      <w:bCs/>
      <w:szCs w:val="20"/>
    </w:rPr>
  </w:style>
  <w:style w:type="paragraph" w:styleId="Rvision">
    <w:name w:val="Revision"/>
    <w:hidden/>
    <w:uiPriority w:val="99"/>
    <w:semiHidden/>
    <w:rsid w:val="00B91785"/>
    <w:pPr>
      <w:spacing w:after="0" w:line="240" w:lineRule="auto"/>
      <w:jc w:val="left"/>
    </w:pPr>
  </w:style>
  <w:style w:type="character" w:customStyle="1" w:styleId="UnresolvedMention1">
    <w:name w:val="Unresolved Mention1"/>
    <w:basedOn w:val="Policepardfaut"/>
    <w:uiPriority w:val="99"/>
    <w:semiHidden/>
    <w:unhideWhenUsed/>
    <w:rsid w:val="00C3279A"/>
    <w:rPr>
      <w:color w:val="605E5C"/>
      <w:shd w:val="clear" w:color="auto" w:fill="E1DFDD"/>
    </w:rPr>
  </w:style>
  <w:style w:type="paragraph" w:styleId="Paragraphedeliste">
    <w:name w:val="List Paragraph"/>
    <w:basedOn w:val="Normal"/>
    <w:uiPriority w:val="34"/>
    <w:qFormat/>
    <w:rsid w:val="00EE3804"/>
    <w:pPr>
      <w:ind w:left="720"/>
      <w:contextualSpacing/>
    </w:pPr>
  </w:style>
  <w:style w:type="paragraph" w:styleId="PrformatHTML">
    <w:name w:val="HTML Preformatted"/>
    <w:basedOn w:val="Normal"/>
    <w:link w:val="PrformatHTMLCar"/>
    <w:uiPriority w:val="99"/>
    <w:semiHidden/>
    <w:unhideWhenUsed/>
    <w:rsid w:val="00F51D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eastAsia="fr-FR"/>
    </w:rPr>
  </w:style>
  <w:style w:type="character" w:customStyle="1" w:styleId="PrformatHTMLCar">
    <w:name w:val="Préformaté HTML Car"/>
    <w:basedOn w:val="Policepardfaut"/>
    <w:link w:val="PrformatHTML"/>
    <w:uiPriority w:val="99"/>
    <w:semiHidden/>
    <w:rsid w:val="00F51D58"/>
    <w:rPr>
      <w:rFonts w:ascii="Courier New" w:eastAsia="Times New Roman" w:hAnsi="Courier New" w:cs="Courier New"/>
      <w:kern w:val="0"/>
      <w:szCs w:val="20"/>
      <w:lang w:eastAsia="fr-FR"/>
    </w:rPr>
  </w:style>
  <w:style w:type="character" w:customStyle="1" w:styleId="y2iqfc">
    <w:name w:val="y2iqfc"/>
    <w:basedOn w:val="Policepardfaut"/>
    <w:rsid w:val="00F51D58"/>
  </w:style>
  <w:style w:type="character" w:styleId="Mentionnonrsolue">
    <w:name w:val="Unresolved Mention"/>
    <w:basedOn w:val="Policepardfaut"/>
    <w:uiPriority w:val="99"/>
    <w:semiHidden/>
    <w:unhideWhenUsed/>
    <w:rsid w:val="00B35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2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angyz02@catl.com" TargetMode="External"/><Relationship Id="rId4" Type="http://schemas.openxmlformats.org/officeDocument/2006/relationships/settings" Target="settings.xml"/><Relationship Id="rId9" Type="http://schemas.openxmlformats.org/officeDocument/2006/relationships/hyperlink" Target="https://www.stellantis.com/fr/groupe/dare-forward-203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75CA-FB84-4B18-B268-1A44CA0A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1773</Words>
  <Characters>9756</Characters>
  <Application>Microsoft Office Word</Application>
  <DocSecurity>0</DocSecurity>
  <Lines>81</Lines>
  <Paragraphs>23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VANESSA GHUENASSIA</cp:lastModifiedBy>
  <cp:revision>2</cp:revision>
  <cp:lastPrinted>2021-10-13T07:55:00Z</cp:lastPrinted>
  <dcterms:created xsi:type="dcterms:W3CDTF">2023-11-21T07:16:00Z</dcterms:created>
  <dcterms:modified xsi:type="dcterms:W3CDTF">2023-11-21T07:16:00Z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y fmtid="{D5CDD505-2E9C-101B-9397-08002B2CF9AE}" pid="10" name="GrammarlyDocumentId">
    <vt:lpwstr>4ff4f6c3f01a58fda7c33fda22bfabbe530146c1dcfe06a3e067af45cde901f5</vt:lpwstr>
  </property>
</Properties>
</file>