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73B0" w14:textId="4A9731EE" w:rsidR="0086416D" w:rsidRPr="0044089C" w:rsidRDefault="0086416D" w:rsidP="0002070C"/>
    <w:p w14:paraId="167D0F77" w14:textId="77777777" w:rsidR="000C3559" w:rsidRPr="00424A02" w:rsidRDefault="000C3559" w:rsidP="0002070C"/>
    <w:p w14:paraId="56C70AB1" w14:textId="77777777" w:rsidR="000C3559" w:rsidRPr="00424A02" w:rsidRDefault="000C3559" w:rsidP="0002070C"/>
    <w:p w14:paraId="2CF20690" w14:textId="77777777" w:rsidR="000C3559" w:rsidRPr="00424A02" w:rsidRDefault="000C3559" w:rsidP="0002070C"/>
    <w:p w14:paraId="028336B1" w14:textId="482EBFBA" w:rsidR="000C3559" w:rsidRDefault="000C3559" w:rsidP="0002070C"/>
    <w:p w14:paraId="447E228E" w14:textId="36006F36" w:rsidR="00FB2F42" w:rsidRDefault="00FB2F42" w:rsidP="0002070C"/>
    <w:p w14:paraId="49B74B59" w14:textId="17D28248" w:rsidR="00FB2F42" w:rsidRDefault="00FB2F42" w:rsidP="0002070C"/>
    <w:p w14:paraId="01DCBBAF" w14:textId="0C18CC8B" w:rsidR="00FB2F42" w:rsidRDefault="00FB2F42" w:rsidP="0002070C"/>
    <w:p w14:paraId="2E6BAB2B" w14:textId="739263B4" w:rsidR="00FB2F42" w:rsidRDefault="00FB2F42" w:rsidP="0002070C"/>
    <w:p w14:paraId="5207F234" w14:textId="77777777" w:rsidR="00FB2F42" w:rsidRPr="00424A02" w:rsidRDefault="00FB2F42" w:rsidP="0002070C"/>
    <w:p w14:paraId="7ED5E243" w14:textId="75E17B67" w:rsidR="000C3559" w:rsidRPr="00FB391C" w:rsidRDefault="007F6784" w:rsidP="29797785">
      <w:pPr>
        <w:pStyle w:val="SSubject"/>
        <w:spacing w:before="0" w:after="0"/>
        <w:rPr>
          <w:sz w:val="23"/>
          <w:szCs w:val="23"/>
        </w:rPr>
      </w:pPr>
      <w:r>
        <w:rPr>
          <w:color w:val="2B579A"/>
          <w:shd w:val="clear" w:color="auto" w:fill="E6E6E6"/>
        </w:rPr>
        <mc:AlternateContent>
          <mc:Choice Requires="wps">
            <w:drawing>
              <wp:anchor distT="0" distB="0" distL="114300" distR="114300" simplePos="0" relativeHeight="251658240" behindDoc="0" locked="1" layoutInCell="1" allowOverlap="1" wp14:anchorId="0A7C07BF" wp14:editId="791972EE">
                <wp:simplePos x="0" y="0"/>
                <wp:positionH relativeFrom="margin">
                  <wp:posOffset>0</wp:posOffset>
                </wp:positionH>
                <wp:positionV relativeFrom="page">
                  <wp:posOffset>1691640</wp:posOffset>
                </wp:positionV>
                <wp:extent cx="429895" cy="64135"/>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895" cy="64135"/>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55E957E4">
              <v:shape id="Freeform: Shape 3"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" w14:anchorId="1863330B">
                <v:path arrowok="t" o:connecttype="custom" o:connectlocs="399535,64135;0,64135;32789,0;429895,0;399535,64135" o:connectangles="0,0,0,0,0"/>
                <w10:wrap anchorx="margin" anchory="page"/>
                <w10:anchorlock/>
              </v:shape>
            </w:pict>
          </mc:Fallback>
        </mc:AlternateContent>
      </w:r>
      <w:bookmarkStart w:id="0" w:name="_Hlk61784730"/>
      <w:sdt>
        <w:sdtPr>
          <w:rPr>
            <w:color w:val="2B579A"/>
            <w:sz w:val="24"/>
            <w:shd w:val="clear" w:color="auto" w:fill="E6E6E6"/>
          </w:rPr>
          <w:id w:val="-1124843631"/>
          <w:placeholder>
            <w:docPart w:val="C1560355552A44AA9415A0192F930735"/>
          </w:placeholder>
          <w15:appearance w15:val="hidden"/>
        </w:sdtPr>
        <w:sdtEndPr>
          <w:rPr>
            <w:sz w:val="23"/>
            <w:szCs w:val="23"/>
          </w:rPr>
        </w:sdtEndPr>
        <w:sdtContent>
          <w:bookmarkEnd w:id="0"/>
          <w:r>
            <w:rPr>
              <w:sz w:val="24"/>
            </w:rPr>
            <w:t xml:space="preserve">Stellantis </w:t>
          </w:r>
          <w:r w:rsidR="007620C5">
            <w:rPr>
              <w:sz w:val="24"/>
            </w:rPr>
            <w:t xml:space="preserve">récompense </w:t>
          </w:r>
          <w:r>
            <w:rPr>
              <w:sz w:val="24"/>
            </w:rPr>
            <w:t>ses fournisseurs pour leur niveau</w:t>
          </w:r>
          <w:r w:rsidR="00424A02">
            <w:rPr>
              <w:sz w:val="24"/>
              <w:szCs w:val="18"/>
            </w:rPr>
            <w:br/>
          </w:r>
          <w:r>
            <w:rPr>
              <w:sz w:val="24"/>
            </w:rPr>
            <w:t>d’engagement, de performance, de qualité et d’excellence opérationnelle</w:t>
          </w:r>
        </w:sdtContent>
      </w:sdt>
    </w:p>
    <w:p w14:paraId="6E562CDC" w14:textId="77777777" w:rsidR="000C3559" w:rsidRPr="00424A02" w:rsidRDefault="000C3559" w:rsidP="000C3559">
      <w:pPr>
        <w:pStyle w:val="SBullet"/>
        <w:numPr>
          <w:ilvl w:val="0"/>
          <w:numId w:val="0"/>
        </w:numPr>
        <w:rPr>
          <w:sz w:val="21"/>
          <w:szCs w:val="21"/>
        </w:rPr>
      </w:pPr>
    </w:p>
    <w:p w14:paraId="5F241F1D" w14:textId="77777777" w:rsidR="000C3559" w:rsidRPr="00424A02" w:rsidRDefault="000C3559" w:rsidP="000C3559">
      <w:pPr>
        <w:pStyle w:val="SBullet"/>
        <w:numPr>
          <w:ilvl w:val="0"/>
          <w:numId w:val="0"/>
        </w:numPr>
        <w:rPr>
          <w:sz w:val="21"/>
          <w:szCs w:val="21"/>
        </w:rPr>
      </w:pPr>
    </w:p>
    <w:p w14:paraId="5B12CF65" w14:textId="036A645C" w:rsidR="00F502ED" w:rsidRPr="00B97FC6" w:rsidRDefault="009D64A7" w:rsidP="00B97FC6">
      <w:pPr>
        <w:numPr>
          <w:ilvl w:val="0"/>
          <w:numId w:val="12"/>
        </w:numPr>
        <w:rPr>
          <w:rFonts w:asciiTheme="majorHAnsi" w:hAnsiTheme="majorHAnsi"/>
          <w:bCs/>
          <w:sz w:val="24"/>
          <w:szCs w:val="24"/>
        </w:rPr>
      </w:pPr>
      <w:r>
        <w:rPr>
          <w:rFonts w:asciiTheme="majorHAnsi" w:hAnsiTheme="majorHAnsi"/>
          <w:bCs/>
          <w:sz w:val="24"/>
          <w:szCs w:val="24"/>
        </w:rPr>
        <w:t>À l’occasion de la troisième édition</w:t>
      </w:r>
      <w:r>
        <w:rPr>
          <w:rFonts w:asciiTheme="majorHAnsi" w:hAnsiTheme="majorHAnsi"/>
          <w:sz w:val="24"/>
          <w:szCs w:val="24"/>
        </w:rPr>
        <w:t xml:space="preserve"> de</w:t>
      </w:r>
      <w:r w:rsidR="007620C5">
        <w:rPr>
          <w:rFonts w:asciiTheme="majorHAnsi" w:hAnsiTheme="majorHAnsi"/>
          <w:sz w:val="24"/>
          <w:szCs w:val="24"/>
        </w:rPr>
        <w:t>s « Stellantis</w:t>
      </w:r>
      <w:r w:rsidR="00424A02">
        <w:rPr>
          <w:rFonts w:asciiTheme="majorHAnsi" w:hAnsiTheme="majorHAnsi"/>
          <w:sz w:val="24"/>
          <w:szCs w:val="24"/>
        </w:rPr>
        <w:t> </w:t>
      </w:r>
      <w:r>
        <w:rPr>
          <w:rFonts w:asciiTheme="majorHAnsi" w:hAnsiTheme="majorHAnsi"/>
          <w:sz w:val="24"/>
          <w:szCs w:val="24"/>
        </w:rPr>
        <w:t>Supplier Awards</w:t>
      </w:r>
      <w:r w:rsidR="00424A02">
        <w:rPr>
          <w:rFonts w:asciiTheme="majorHAnsi" w:hAnsiTheme="majorHAnsi"/>
          <w:sz w:val="24"/>
          <w:szCs w:val="24"/>
        </w:rPr>
        <w:t> »</w:t>
      </w:r>
      <w:r>
        <w:rPr>
          <w:rFonts w:asciiTheme="majorHAnsi" w:hAnsiTheme="majorHAnsi"/>
          <w:sz w:val="24"/>
          <w:szCs w:val="24"/>
        </w:rPr>
        <w:t>,</w:t>
      </w:r>
      <w:r>
        <w:rPr>
          <w:rFonts w:asciiTheme="majorHAnsi" w:hAnsiTheme="majorHAnsi"/>
          <w:bCs/>
          <w:sz w:val="24"/>
          <w:szCs w:val="24"/>
        </w:rPr>
        <w:t xml:space="preserve"> </w:t>
      </w:r>
      <w:r w:rsidR="007620C5">
        <w:rPr>
          <w:rFonts w:asciiTheme="majorHAnsi" w:hAnsiTheme="majorHAnsi"/>
          <w:bCs/>
          <w:sz w:val="24"/>
          <w:szCs w:val="24"/>
        </w:rPr>
        <w:t xml:space="preserve">16 fournisseurs ont reçu le </w:t>
      </w:r>
      <w:r>
        <w:rPr>
          <w:rFonts w:asciiTheme="majorHAnsi" w:hAnsiTheme="majorHAnsi"/>
          <w:bCs/>
          <w:sz w:val="24"/>
          <w:szCs w:val="24"/>
        </w:rPr>
        <w:t>prix de « Fournisseur de l’année »</w:t>
      </w:r>
    </w:p>
    <w:p w14:paraId="753B3B64" w14:textId="77777777" w:rsidR="00B97FC6" w:rsidRPr="00424A02" w:rsidRDefault="00B97FC6" w:rsidP="008F69CC">
      <w:pPr>
        <w:rPr>
          <w:rFonts w:asciiTheme="majorHAnsi" w:hAnsiTheme="majorHAnsi"/>
          <w:bCs/>
          <w:sz w:val="24"/>
          <w:szCs w:val="24"/>
        </w:rPr>
      </w:pPr>
    </w:p>
    <w:p w14:paraId="4A750D35" w14:textId="1F71BD3B" w:rsidR="009D64A7" w:rsidRPr="00B21A90" w:rsidRDefault="00FA720F" w:rsidP="008F69CC">
      <w:pPr>
        <w:numPr>
          <w:ilvl w:val="0"/>
          <w:numId w:val="12"/>
        </w:numPr>
        <w:rPr>
          <w:rFonts w:asciiTheme="majorHAnsi" w:hAnsiTheme="majorHAnsi"/>
          <w:bCs/>
          <w:sz w:val="24"/>
          <w:szCs w:val="24"/>
        </w:rPr>
      </w:pPr>
      <w:r>
        <w:rPr>
          <w:rFonts w:asciiTheme="majorHAnsi" w:hAnsiTheme="majorHAnsi"/>
          <w:sz w:val="24"/>
          <w:szCs w:val="24"/>
        </w:rPr>
        <w:t>40 fournisseurs été nom</w:t>
      </w:r>
      <w:r w:rsidR="007620C5">
        <w:rPr>
          <w:rFonts w:asciiTheme="majorHAnsi" w:hAnsiTheme="majorHAnsi"/>
          <w:sz w:val="24"/>
          <w:szCs w:val="24"/>
        </w:rPr>
        <w:t>iné</w:t>
      </w:r>
      <w:r>
        <w:rPr>
          <w:rFonts w:asciiTheme="majorHAnsi" w:hAnsiTheme="majorHAnsi"/>
          <w:sz w:val="24"/>
          <w:szCs w:val="24"/>
        </w:rPr>
        <w:t xml:space="preserve">s </w:t>
      </w:r>
      <w:r w:rsidR="007620C5">
        <w:rPr>
          <w:rFonts w:asciiTheme="majorHAnsi" w:hAnsiTheme="majorHAnsi"/>
          <w:sz w:val="24"/>
          <w:szCs w:val="24"/>
        </w:rPr>
        <w:t>dans</w:t>
      </w:r>
      <w:r>
        <w:rPr>
          <w:rFonts w:asciiTheme="majorHAnsi" w:hAnsiTheme="majorHAnsi"/>
          <w:sz w:val="24"/>
          <w:szCs w:val="24"/>
        </w:rPr>
        <w:t xml:space="preserve"> </w:t>
      </w:r>
      <w:r>
        <w:rPr>
          <w:rFonts w:asciiTheme="majorHAnsi" w:hAnsiTheme="majorHAnsi"/>
          <w:bCs/>
          <w:sz w:val="24"/>
          <w:szCs w:val="24"/>
        </w:rPr>
        <w:t>16 catégories stratégiques</w:t>
      </w:r>
      <w:r w:rsidR="007620C5">
        <w:rPr>
          <w:rFonts w:asciiTheme="majorHAnsi" w:hAnsiTheme="majorHAnsi"/>
          <w:bCs/>
          <w:sz w:val="24"/>
          <w:szCs w:val="24"/>
        </w:rPr>
        <w:t xml:space="preserve"> : </w:t>
      </w:r>
      <w:r w:rsidR="007620C5">
        <w:rPr>
          <w:rFonts w:asciiTheme="majorHAnsi" w:hAnsiTheme="majorHAnsi"/>
          <w:sz w:val="24"/>
          <w:szCs w:val="24"/>
        </w:rPr>
        <w:t>a</w:t>
      </w:r>
      <w:r>
        <w:rPr>
          <w:rFonts w:asciiTheme="majorHAnsi" w:hAnsiTheme="majorHAnsi"/>
          <w:sz w:val="24"/>
          <w:szCs w:val="24"/>
        </w:rPr>
        <w:t>chats, chaîne d’approvisionnement, qualité fournisseur et innovation</w:t>
      </w:r>
    </w:p>
    <w:p w14:paraId="1B219C8B" w14:textId="737F41FB" w:rsidR="00A664E6" w:rsidRPr="00424A02" w:rsidRDefault="00A664E6" w:rsidP="0002070C">
      <w:pPr>
        <w:rPr>
          <w:sz w:val="21"/>
          <w:szCs w:val="21"/>
        </w:rPr>
      </w:pPr>
    </w:p>
    <w:p w14:paraId="599A7BD0" w14:textId="6265C81F" w:rsidR="00A664E6" w:rsidRPr="00A44A85" w:rsidRDefault="001574D1" w:rsidP="208E0893">
      <w:pPr>
        <w:rPr>
          <w:sz w:val="24"/>
          <w:szCs w:val="24"/>
        </w:rPr>
      </w:pPr>
      <w:r>
        <w:rPr>
          <w:sz w:val="24"/>
          <w:szCs w:val="24"/>
        </w:rPr>
        <w:t xml:space="preserve">DETROIT, le 11 octobre 2023 – Stellantis a </w:t>
      </w:r>
      <w:r w:rsidR="007620C5">
        <w:rPr>
          <w:sz w:val="24"/>
          <w:szCs w:val="24"/>
        </w:rPr>
        <w:t xml:space="preserve">choisi de récompenser </w:t>
      </w:r>
      <w:r>
        <w:rPr>
          <w:sz w:val="24"/>
          <w:szCs w:val="24"/>
        </w:rPr>
        <w:t xml:space="preserve">40 de ses fournisseurs pour leur niveau d’engagement, de performance, de qualité et d’excellence opérationnelle </w:t>
      </w:r>
      <w:r w:rsidR="007620C5">
        <w:rPr>
          <w:sz w:val="24"/>
          <w:szCs w:val="24"/>
        </w:rPr>
        <w:t>pour</w:t>
      </w:r>
      <w:r>
        <w:rPr>
          <w:sz w:val="24"/>
          <w:szCs w:val="24"/>
        </w:rPr>
        <w:t xml:space="preserve"> l’année 2022. L</w:t>
      </w:r>
      <w:r w:rsidR="007620C5">
        <w:rPr>
          <w:sz w:val="24"/>
          <w:szCs w:val="24"/>
        </w:rPr>
        <w:t xml:space="preserve">’entreprise </w:t>
      </w:r>
      <w:r>
        <w:rPr>
          <w:sz w:val="24"/>
          <w:szCs w:val="24"/>
        </w:rPr>
        <w:t xml:space="preserve">a ainsi </w:t>
      </w:r>
      <w:r w:rsidR="007620C5">
        <w:rPr>
          <w:sz w:val="24"/>
          <w:szCs w:val="24"/>
        </w:rPr>
        <w:t>désigné</w:t>
      </w:r>
      <w:r>
        <w:rPr>
          <w:sz w:val="24"/>
          <w:szCs w:val="24"/>
        </w:rPr>
        <w:t xml:space="preserve"> un « Fournisseur de l’année » dans chacune des 16 catégories</w:t>
      </w:r>
      <w:r w:rsidR="000F52A7">
        <w:rPr>
          <w:sz w:val="24"/>
          <w:szCs w:val="24"/>
        </w:rPr>
        <w:t xml:space="preserve"> </w:t>
      </w:r>
      <w:r>
        <w:rPr>
          <w:sz w:val="24"/>
          <w:szCs w:val="24"/>
        </w:rPr>
        <w:t xml:space="preserve">: les pièces de rechange et le SAV, les </w:t>
      </w:r>
      <w:r w:rsidR="000F52A7" w:rsidRPr="0051192C">
        <w:rPr>
          <w:sz w:val="24"/>
          <w:szCs w:val="24"/>
        </w:rPr>
        <w:t>achats</w:t>
      </w:r>
      <w:r w:rsidR="000F52A7" w:rsidRPr="000F52A7">
        <w:rPr>
          <w:sz w:val="24"/>
          <w:szCs w:val="24"/>
        </w:rPr>
        <w:t xml:space="preserve"> </w:t>
      </w:r>
      <w:r w:rsidRPr="000F52A7">
        <w:rPr>
          <w:sz w:val="24"/>
          <w:szCs w:val="24"/>
        </w:rPr>
        <w:t>directs, les services indirects</w:t>
      </w:r>
      <w:r>
        <w:rPr>
          <w:sz w:val="24"/>
          <w:szCs w:val="24"/>
        </w:rPr>
        <w:t xml:space="preserve"> et la performance régionale. Plus de 150 fournisseurs mondiaux et la direction de Stellantis ont assisté à cet évènement annuel</w:t>
      </w:r>
      <w:r w:rsidR="000F52A7">
        <w:rPr>
          <w:sz w:val="24"/>
          <w:szCs w:val="24"/>
        </w:rPr>
        <w:t>.</w:t>
      </w:r>
    </w:p>
    <w:p w14:paraId="6B32D91B" w14:textId="72AEF70F" w:rsidR="00A664E6" w:rsidRPr="00424A02" w:rsidRDefault="00A664E6" w:rsidP="00A664E6">
      <w:pPr>
        <w:rPr>
          <w:sz w:val="24"/>
          <w:szCs w:val="24"/>
        </w:rPr>
      </w:pPr>
    </w:p>
    <w:p w14:paraId="04D3E45E" w14:textId="2FBB9A67" w:rsidR="00A664E6" w:rsidRPr="00A44A85" w:rsidRDefault="00A664E6" w:rsidP="00A664E6">
      <w:pPr>
        <w:rPr>
          <w:sz w:val="24"/>
          <w:szCs w:val="24"/>
        </w:rPr>
      </w:pPr>
      <w:r>
        <w:rPr>
          <w:sz w:val="24"/>
          <w:szCs w:val="24"/>
        </w:rPr>
        <w:t xml:space="preserve">« Nous adressons nos plus sincères félicitations aux </w:t>
      </w:r>
      <w:r w:rsidR="007620C5">
        <w:rPr>
          <w:sz w:val="24"/>
          <w:szCs w:val="24"/>
        </w:rPr>
        <w:t xml:space="preserve">lauréats </w:t>
      </w:r>
      <w:r>
        <w:rPr>
          <w:sz w:val="24"/>
          <w:szCs w:val="24"/>
        </w:rPr>
        <w:t xml:space="preserve">du prix de « Fournisseur de l’année », dont l’engagement et les standards nous ont aidés à </w:t>
      </w:r>
      <w:r w:rsidR="007620C5">
        <w:rPr>
          <w:sz w:val="24"/>
          <w:szCs w:val="24"/>
        </w:rPr>
        <w:t>relever les défis</w:t>
      </w:r>
      <w:r>
        <w:rPr>
          <w:sz w:val="24"/>
          <w:szCs w:val="24"/>
        </w:rPr>
        <w:t xml:space="preserve"> et à atteindre de nouveaux sommets », a </w:t>
      </w:r>
      <w:r w:rsidR="007620C5">
        <w:rPr>
          <w:sz w:val="24"/>
          <w:szCs w:val="24"/>
        </w:rPr>
        <w:t>déclaré</w:t>
      </w:r>
      <w:r>
        <w:rPr>
          <w:sz w:val="24"/>
          <w:szCs w:val="24"/>
        </w:rPr>
        <w:t xml:space="preserve"> Maxime Picat, </w:t>
      </w:r>
      <w:proofErr w:type="spellStart"/>
      <w:r w:rsidRPr="0051192C">
        <w:rPr>
          <w:sz w:val="24"/>
          <w:szCs w:val="24"/>
        </w:rPr>
        <w:t>Stellantis</w:t>
      </w:r>
      <w:proofErr w:type="spellEnd"/>
      <w:r>
        <w:rPr>
          <w:sz w:val="24"/>
          <w:szCs w:val="24"/>
        </w:rPr>
        <w:t xml:space="preserve"> Chief </w:t>
      </w:r>
      <w:proofErr w:type="spellStart"/>
      <w:r>
        <w:rPr>
          <w:sz w:val="24"/>
          <w:szCs w:val="24"/>
        </w:rPr>
        <w:t>Purchasing</w:t>
      </w:r>
      <w:proofErr w:type="spellEnd"/>
      <w:r>
        <w:rPr>
          <w:sz w:val="24"/>
          <w:szCs w:val="24"/>
        </w:rPr>
        <w:t xml:space="preserve"> and </w:t>
      </w:r>
      <w:proofErr w:type="spellStart"/>
      <w:r>
        <w:rPr>
          <w:sz w:val="24"/>
          <w:szCs w:val="24"/>
        </w:rPr>
        <w:t>Supply</w:t>
      </w:r>
      <w:proofErr w:type="spellEnd"/>
      <w:r>
        <w:rPr>
          <w:sz w:val="24"/>
          <w:szCs w:val="24"/>
        </w:rPr>
        <w:t xml:space="preserve"> Chain </w:t>
      </w:r>
      <w:proofErr w:type="spellStart"/>
      <w:r>
        <w:rPr>
          <w:sz w:val="24"/>
          <w:szCs w:val="24"/>
        </w:rPr>
        <w:t>Officer</w:t>
      </w:r>
      <w:proofErr w:type="spellEnd"/>
      <w:r>
        <w:rPr>
          <w:sz w:val="24"/>
          <w:szCs w:val="24"/>
        </w:rPr>
        <w:t xml:space="preserve">. « Leur esprit de collaboration, leur performance exceptionnelle, leur qualité </w:t>
      </w:r>
      <w:r w:rsidR="007620C5">
        <w:rPr>
          <w:sz w:val="24"/>
          <w:szCs w:val="24"/>
        </w:rPr>
        <w:t>sans compromis</w:t>
      </w:r>
      <w:r>
        <w:rPr>
          <w:sz w:val="24"/>
          <w:szCs w:val="24"/>
        </w:rPr>
        <w:t xml:space="preserve"> et l</w:t>
      </w:r>
      <w:r w:rsidR="007620C5">
        <w:rPr>
          <w:sz w:val="24"/>
          <w:szCs w:val="24"/>
        </w:rPr>
        <w:t xml:space="preserve">eur capacité à fournir des pièces et des services dans des délai impartis </w:t>
      </w:r>
      <w:r w:rsidR="003E394F">
        <w:rPr>
          <w:sz w:val="24"/>
          <w:szCs w:val="24"/>
        </w:rPr>
        <w:t xml:space="preserve">se sont révélés essentiels </w:t>
      </w:r>
      <w:r>
        <w:rPr>
          <w:sz w:val="24"/>
          <w:szCs w:val="24"/>
        </w:rPr>
        <w:t xml:space="preserve">dans tout ce que nous avons accompli. </w:t>
      </w:r>
      <w:r w:rsidR="00E86F4D">
        <w:rPr>
          <w:sz w:val="24"/>
          <w:szCs w:val="24"/>
        </w:rPr>
        <w:t>»</w:t>
      </w:r>
    </w:p>
    <w:p w14:paraId="4FECA019" w14:textId="77777777" w:rsidR="00A664E6" w:rsidRPr="00424A02" w:rsidRDefault="00A664E6" w:rsidP="00A664E6">
      <w:pPr>
        <w:rPr>
          <w:sz w:val="24"/>
          <w:szCs w:val="24"/>
        </w:rPr>
      </w:pPr>
    </w:p>
    <w:p w14:paraId="3D0CD3E3" w14:textId="3C401528" w:rsidR="00D24B3A" w:rsidRPr="00A44A85" w:rsidRDefault="2D34620F" w:rsidP="00A664E6">
      <w:pPr>
        <w:rPr>
          <w:sz w:val="24"/>
          <w:szCs w:val="24"/>
        </w:rPr>
      </w:pPr>
      <w:r>
        <w:rPr>
          <w:sz w:val="24"/>
          <w:szCs w:val="24"/>
        </w:rPr>
        <w:t>Tous les nom</w:t>
      </w:r>
      <w:r w:rsidR="003E394F">
        <w:rPr>
          <w:sz w:val="24"/>
          <w:szCs w:val="24"/>
        </w:rPr>
        <w:t>in</w:t>
      </w:r>
      <w:r>
        <w:rPr>
          <w:sz w:val="24"/>
          <w:szCs w:val="24"/>
        </w:rPr>
        <w:t xml:space="preserve">és et lauréats du prix de « Fournisseur de l’année » ont été sélectionnés par des équipes dirigeantes </w:t>
      </w:r>
      <w:r w:rsidR="003E394F">
        <w:rPr>
          <w:sz w:val="24"/>
          <w:szCs w:val="24"/>
        </w:rPr>
        <w:t xml:space="preserve">plurifonctionnelles </w:t>
      </w:r>
      <w:r>
        <w:rPr>
          <w:sz w:val="24"/>
          <w:szCs w:val="24"/>
        </w:rPr>
        <w:t xml:space="preserve">de Stellantis. Ces équipes ont évalué les fournisseurs </w:t>
      </w:r>
      <w:r w:rsidR="003E394F">
        <w:rPr>
          <w:sz w:val="24"/>
          <w:szCs w:val="24"/>
        </w:rPr>
        <w:t>sur la base</w:t>
      </w:r>
      <w:r>
        <w:rPr>
          <w:sz w:val="24"/>
          <w:szCs w:val="24"/>
        </w:rPr>
        <w:t xml:space="preserve"> de plusieurs critères, notamment la performance, l’innovation, la qualité, le coût, le lancement de programmes et la sécurité, ainsi que sur</w:t>
      </w:r>
      <w:r w:rsidR="003E394F">
        <w:rPr>
          <w:sz w:val="24"/>
          <w:szCs w:val="24"/>
        </w:rPr>
        <w:t xml:space="preserve"> </w:t>
      </w:r>
      <w:r>
        <w:rPr>
          <w:sz w:val="24"/>
          <w:szCs w:val="24"/>
        </w:rPr>
        <w:t xml:space="preserve">leur attachement à mettre en œuvre le plan Dare </w:t>
      </w:r>
      <w:proofErr w:type="spellStart"/>
      <w:r>
        <w:rPr>
          <w:sz w:val="24"/>
          <w:szCs w:val="24"/>
        </w:rPr>
        <w:t>Forward</w:t>
      </w:r>
      <w:proofErr w:type="spellEnd"/>
      <w:r>
        <w:rPr>
          <w:sz w:val="24"/>
          <w:szCs w:val="24"/>
        </w:rPr>
        <w:t xml:space="preserve"> 2030 de </w:t>
      </w:r>
      <w:proofErr w:type="spellStart"/>
      <w:r>
        <w:rPr>
          <w:sz w:val="24"/>
          <w:szCs w:val="24"/>
        </w:rPr>
        <w:t>Stellantis</w:t>
      </w:r>
      <w:proofErr w:type="spellEnd"/>
      <w:r>
        <w:rPr>
          <w:sz w:val="24"/>
          <w:szCs w:val="24"/>
        </w:rPr>
        <w:t xml:space="preserve">. </w:t>
      </w:r>
    </w:p>
    <w:p w14:paraId="0606E8B1" w14:textId="48C2BBF5" w:rsidR="003E394F" w:rsidRDefault="003E394F">
      <w:pPr>
        <w:jc w:val="left"/>
        <w:rPr>
          <w:sz w:val="24"/>
          <w:szCs w:val="24"/>
        </w:rPr>
      </w:pPr>
      <w:r>
        <w:rPr>
          <w:sz w:val="24"/>
          <w:szCs w:val="24"/>
        </w:rPr>
        <w:br w:type="page"/>
      </w:r>
    </w:p>
    <w:p w14:paraId="43C6B087" w14:textId="7245D67B" w:rsidR="00A664E6" w:rsidRPr="00A44A85" w:rsidRDefault="00A664E6" w:rsidP="00A664E6">
      <w:pPr>
        <w:rPr>
          <w:b/>
          <w:bCs/>
          <w:sz w:val="24"/>
          <w:szCs w:val="24"/>
        </w:rPr>
      </w:pPr>
      <w:r>
        <w:rPr>
          <w:sz w:val="24"/>
          <w:szCs w:val="24"/>
        </w:rPr>
        <w:lastRenderedPageBreak/>
        <w:t xml:space="preserve">Comme indiqué dans son Plan Stratégique Dare </w:t>
      </w:r>
      <w:proofErr w:type="spellStart"/>
      <w:r>
        <w:rPr>
          <w:sz w:val="24"/>
          <w:szCs w:val="24"/>
        </w:rPr>
        <w:t>Forward</w:t>
      </w:r>
      <w:proofErr w:type="spellEnd"/>
      <w:r>
        <w:rPr>
          <w:sz w:val="24"/>
          <w:szCs w:val="24"/>
        </w:rPr>
        <w:t xml:space="preserve"> 2030, </w:t>
      </w:r>
      <w:proofErr w:type="spellStart"/>
      <w:r>
        <w:rPr>
          <w:sz w:val="24"/>
          <w:szCs w:val="24"/>
        </w:rPr>
        <w:t>Stellantis</w:t>
      </w:r>
      <w:proofErr w:type="spellEnd"/>
      <w:r>
        <w:rPr>
          <w:sz w:val="24"/>
          <w:szCs w:val="24"/>
        </w:rPr>
        <w:t xml:space="preserve"> a annoncé son intention d’atteindre 100 % de véhicules particuliers électriques (BEV) vendus en Europe et 50 % de véhicules particuliers et de pick-up BEV </w:t>
      </w:r>
      <w:r w:rsidR="00FC0D95">
        <w:rPr>
          <w:sz w:val="24"/>
          <w:szCs w:val="24"/>
        </w:rPr>
        <w:t>aux Etats-Unis d’ici 2030</w:t>
      </w:r>
      <w:r>
        <w:rPr>
          <w:sz w:val="24"/>
          <w:szCs w:val="24"/>
        </w:rPr>
        <w:t>, tout en réduisant la complexité ainsi que le coût des véhicules électriques à batterie de 40 %. Ces objectifs sont au cœur des préoccupations de l’équipe en charge des achats et de la chaîne d’approvisionnement afin de permettre à Stellantis d’offrir des solutions de mobilité propres, sûres et abordables pour tous</w:t>
      </w:r>
      <w:r>
        <w:rPr>
          <w:b/>
          <w:bCs/>
          <w:sz w:val="24"/>
          <w:szCs w:val="24"/>
        </w:rPr>
        <w:t>.</w:t>
      </w:r>
    </w:p>
    <w:p w14:paraId="22DEEC17" w14:textId="77777777" w:rsidR="009551BF" w:rsidRPr="00424A02" w:rsidRDefault="009551BF" w:rsidP="0002070C">
      <w:pPr>
        <w:rPr>
          <w:b/>
          <w:bCs/>
          <w:sz w:val="24"/>
          <w:szCs w:val="24"/>
          <w:u w:val="single"/>
        </w:rPr>
      </w:pPr>
    </w:p>
    <w:p w14:paraId="6B9CCD18" w14:textId="4947DAE3" w:rsidR="003E394F" w:rsidRDefault="003E394F" w:rsidP="0002070C">
      <w:pPr>
        <w:rPr>
          <w:b/>
          <w:bCs/>
          <w:sz w:val="24"/>
          <w:szCs w:val="24"/>
          <w:u w:val="single"/>
        </w:rPr>
      </w:pPr>
      <w:r>
        <w:rPr>
          <w:b/>
          <w:bCs/>
          <w:sz w:val="24"/>
          <w:szCs w:val="24"/>
          <w:u w:val="single"/>
        </w:rPr>
        <w:t xml:space="preserve">Gagnant du prix « Fournisseur de l’année »: 2023 : par région </w:t>
      </w:r>
    </w:p>
    <w:p w14:paraId="6FE09A24" w14:textId="016074B8" w:rsidR="00975ED0" w:rsidRPr="00424A02" w:rsidRDefault="00975ED0" w:rsidP="0002070C">
      <w:pPr>
        <w:rPr>
          <w:sz w:val="24"/>
          <w:szCs w:val="24"/>
        </w:rPr>
      </w:pPr>
    </w:p>
    <w:p w14:paraId="6C6A5915" w14:textId="2A4F6628" w:rsidR="00975ED0" w:rsidRPr="00A44A85" w:rsidDel="004F7AB9" w:rsidRDefault="00975ED0" w:rsidP="0002070C">
      <w:pPr>
        <w:rPr>
          <w:b/>
          <w:bCs/>
          <w:sz w:val="24"/>
          <w:szCs w:val="24"/>
        </w:rPr>
      </w:pPr>
      <w:r>
        <w:rPr>
          <w:b/>
          <w:bCs/>
          <w:sz w:val="24"/>
          <w:szCs w:val="24"/>
        </w:rPr>
        <w:t>Amérique du Nord</w:t>
      </w:r>
    </w:p>
    <w:p w14:paraId="430EC7CD" w14:textId="3AA6453C" w:rsidR="00975ED0" w:rsidRPr="00A44A85" w:rsidDel="004F7AB9" w:rsidRDefault="00BB1709" w:rsidP="0002070C">
      <w:pPr>
        <w:rPr>
          <w:sz w:val="24"/>
          <w:szCs w:val="24"/>
        </w:rPr>
      </w:pPr>
      <w:proofErr w:type="spellStart"/>
      <w:r>
        <w:rPr>
          <w:sz w:val="24"/>
          <w:szCs w:val="24"/>
        </w:rPr>
        <w:t>Alps</w:t>
      </w:r>
      <w:proofErr w:type="spellEnd"/>
      <w:r>
        <w:rPr>
          <w:sz w:val="24"/>
          <w:szCs w:val="24"/>
        </w:rPr>
        <w:t xml:space="preserve"> Alpine</w:t>
      </w:r>
    </w:p>
    <w:p w14:paraId="3AC3B76C" w14:textId="0BA61429" w:rsidR="00975ED0" w:rsidRPr="00424A02" w:rsidRDefault="00975ED0" w:rsidP="0002070C">
      <w:pPr>
        <w:rPr>
          <w:sz w:val="24"/>
          <w:szCs w:val="24"/>
        </w:rPr>
      </w:pPr>
    </w:p>
    <w:p w14:paraId="6DAE3D57" w14:textId="58795D76" w:rsidR="00975ED0" w:rsidRPr="00A44A85" w:rsidDel="004F7AB9" w:rsidRDefault="00975ED0" w:rsidP="00975ED0">
      <w:pPr>
        <w:rPr>
          <w:b/>
          <w:bCs/>
          <w:sz w:val="24"/>
          <w:szCs w:val="24"/>
        </w:rPr>
      </w:pPr>
      <w:r>
        <w:rPr>
          <w:b/>
          <w:bCs/>
          <w:sz w:val="24"/>
          <w:szCs w:val="24"/>
        </w:rPr>
        <w:t>Amérique du Sud</w:t>
      </w:r>
    </w:p>
    <w:p w14:paraId="50743428" w14:textId="725CF8D6" w:rsidR="00975ED0" w:rsidRPr="00A44A85" w:rsidDel="004F7AB9" w:rsidRDefault="00367AAD" w:rsidP="00975ED0">
      <w:pPr>
        <w:rPr>
          <w:sz w:val="24"/>
          <w:szCs w:val="24"/>
        </w:rPr>
      </w:pPr>
      <w:r>
        <w:rPr>
          <w:sz w:val="24"/>
          <w:szCs w:val="24"/>
        </w:rPr>
        <w:t xml:space="preserve">F2J </w:t>
      </w:r>
      <w:proofErr w:type="spellStart"/>
      <w:r>
        <w:rPr>
          <w:sz w:val="24"/>
          <w:szCs w:val="24"/>
        </w:rPr>
        <w:t>Industry</w:t>
      </w:r>
      <w:proofErr w:type="spellEnd"/>
    </w:p>
    <w:p w14:paraId="2761C466" w14:textId="6CB835B3" w:rsidR="00975ED0" w:rsidRPr="00424A02" w:rsidRDefault="00975ED0" w:rsidP="00975ED0">
      <w:pPr>
        <w:rPr>
          <w:sz w:val="24"/>
          <w:szCs w:val="24"/>
        </w:rPr>
      </w:pPr>
    </w:p>
    <w:p w14:paraId="44B99A30" w14:textId="5402CC8B" w:rsidR="00975ED0" w:rsidRPr="00A44A85" w:rsidDel="00A03298" w:rsidRDefault="00975ED0" w:rsidP="00975ED0">
      <w:pPr>
        <w:rPr>
          <w:b/>
          <w:bCs/>
          <w:sz w:val="24"/>
          <w:szCs w:val="24"/>
        </w:rPr>
      </w:pPr>
      <w:r>
        <w:rPr>
          <w:b/>
          <w:bCs/>
          <w:sz w:val="24"/>
          <w:szCs w:val="24"/>
        </w:rPr>
        <w:t>Europe élargie</w:t>
      </w:r>
    </w:p>
    <w:p w14:paraId="1F5CEC32" w14:textId="755DE392" w:rsidR="00975ED0" w:rsidRPr="00A44A85" w:rsidDel="00A03298" w:rsidRDefault="00367AAD" w:rsidP="00975ED0">
      <w:pPr>
        <w:rPr>
          <w:sz w:val="24"/>
          <w:szCs w:val="24"/>
        </w:rPr>
      </w:pPr>
      <w:r>
        <w:rPr>
          <w:sz w:val="24"/>
          <w:szCs w:val="24"/>
        </w:rPr>
        <w:t>Plastic Omnium</w:t>
      </w:r>
    </w:p>
    <w:p w14:paraId="71F0FA27" w14:textId="73947405" w:rsidR="00975ED0" w:rsidRPr="00424A02" w:rsidRDefault="00975ED0" w:rsidP="00975ED0">
      <w:pPr>
        <w:rPr>
          <w:sz w:val="24"/>
          <w:szCs w:val="24"/>
        </w:rPr>
      </w:pPr>
    </w:p>
    <w:p w14:paraId="5F40BFAB" w14:textId="28882FDC" w:rsidR="00975ED0" w:rsidRPr="00A44A85" w:rsidDel="00A03298" w:rsidRDefault="00975ED0" w:rsidP="00975ED0">
      <w:pPr>
        <w:rPr>
          <w:b/>
          <w:bCs/>
          <w:sz w:val="24"/>
          <w:szCs w:val="24"/>
        </w:rPr>
      </w:pPr>
      <w:r>
        <w:rPr>
          <w:b/>
          <w:bCs/>
          <w:sz w:val="24"/>
          <w:szCs w:val="24"/>
        </w:rPr>
        <w:t>Moyen-Orient et Afrique</w:t>
      </w:r>
    </w:p>
    <w:p w14:paraId="5205E2E1" w14:textId="5990175A" w:rsidR="00975ED0" w:rsidRPr="00A44A85" w:rsidDel="00A03298" w:rsidRDefault="00367AAD" w:rsidP="00975ED0">
      <w:pPr>
        <w:rPr>
          <w:sz w:val="24"/>
          <w:szCs w:val="24"/>
        </w:rPr>
      </w:pPr>
      <w:r>
        <w:rPr>
          <w:sz w:val="24"/>
          <w:szCs w:val="24"/>
        </w:rPr>
        <w:t xml:space="preserve">A2ME </w:t>
      </w:r>
      <w:proofErr w:type="spellStart"/>
      <w:r>
        <w:rPr>
          <w:sz w:val="24"/>
          <w:szCs w:val="24"/>
        </w:rPr>
        <w:t>Industry</w:t>
      </w:r>
      <w:proofErr w:type="spellEnd"/>
    </w:p>
    <w:p w14:paraId="2133E765" w14:textId="0FB29D8D" w:rsidR="00975ED0" w:rsidRPr="00424A02" w:rsidRDefault="00975ED0" w:rsidP="00975ED0">
      <w:pPr>
        <w:rPr>
          <w:sz w:val="24"/>
          <w:szCs w:val="24"/>
        </w:rPr>
      </w:pPr>
    </w:p>
    <w:p w14:paraId="03DC0A44" w14:textId="772577B9" w:rsidR="00975ED0" w:rsidRPr="00A44A85" w:rsidDel="007B4416" w:rsidRDefault="00975ED0" w:rsidP="00975ED0">
      <w:pPr>
        <w:rPr>
          <w:b/>
          <w:bCs/>
          <w:sz w:val="24"/>
          <w:szCs w:val="24"/>
        </w:rPr>
      </w:pPr>
      <w:r>
        <w:rPr>
          <w:b/>
          <w:bCs/>
          <w:sz w:val="24"/>
          <w:szCs w:val="24"/>
        </w:rPr>
        <w:t>Inde et Asie-Pacifique</w:t>
      </w:r>
    </w:p>
    <w:p w14:paraId="2B82983D" w14:textId="5F579EC0" w:rsidR="00975ED0" w:rsidRPr="00424A02" w:rsidDel="007B4416" w:rsidRDefault="00367AAD" w:rsidP="00975ED0">
      <w:pPr>
        <w:rPr>
          <w:sz w:val="24"/>
          <w:szCs w:val="24"/>
          <w:lang w:val="en-US"/>
        </w:rPr>
      </w:pPr>
      <w:proofErr w:type="spellStart"/>
      <w:r w:rsidRPr="00424A02">
        <w:rPr>
          <w:sz w:val="24"/>
          <w:szCs w:val="24"/>
          <w:lang w:val="en-US"/>
        </w:rPr>
        <w:t>Iljin</w:t>
      </w:r>
      <w:proofErr w:type="spellEnd"/>
      <w:r w:rsidRPr="00424A02">
        <w:rPr>
          <w:sz w:val="24"/>
          <w:szCs w:val="24"/>
          <w:lang w:val="en-US"/>
        </w:rPr>
        <w:t xml:space="preserve"> Group</w:t>
      </w:r>
    </w:p>
    <w:p w14:paraId="5252EA23" w14:textId="24A20232" w:rsidR="00975ED0" w:rsidRPr="00A44A85" w:rsidRDefault="00975ED0" w:rsidP="00975ED0">
      <w:pPr>
        <w:rPr>
          <w:sz w:val="24"/>
          <w:szCs w:val="24"/>
          <w:lang w:val="en-US"/>
        </w:rPr>
      </w:pPr>
    </w:p>
    <w:p w14:paraId="4E68E480" w14:textId="0A06BEE8" w:rsidR="00975ED0" w:rsidRPr="00424A02" w:rsidDel="007B4416" w:rsidRDefault="00975ED0" w:rsidP="00975ED0">
      <w:pPr>
        <w:rPr>
          <w:b/>
          <w:bCs/>
          <w:sz w:val="24"/>
          <w:szCs w:val="24"/>
          <w:lang w:val="en-US"/>
        </w:rPr>
      </w:pPr>
      <w:r w:rsidRPr="00424A02">
        <w:rPr>
          <w:b/>
          <w:bCs/>
          <w:sz w:val="24"/>
          <w:szCs w:val="24"/>
          <w:lang w:val="en-US"/>
        </w:rPr>
        <w:t>Chine</w:t>
      </w:r>
    </w:p>
    <w:p w14:paraId="2912DD64" w14:textId="1E55B91D" w:rsidR="00975ED0" w:rsidRPr="00424A02" w:rsidDel="007B4416" w:rsidRDefault="00367AAD" w:rsidP="00975ED0">
      <w:pPr>
        <w:rPr>
          <w:sz w:val="24"/>
          <w:szCs w:val="24"/>
          <w:lang w:val="en-US"/>
        </w:rPr>
      </w:pPr>
      <w:r w:rsidRPr="00424A02">
        <w:rPr>
          <w:sz w:val="24"/>
          <w:szCs w:val="24"/>
          <w:lang w:val="en-US"/>
        </w:rPr>
        <w:t>VMAX New Energy Co.</w:t>
      </w:r>
    </w:p>
    <w:p w14:paraId="763AF228" w14:textId="77777777" w:rsidR="00975ED0" w:rsidRPr="00A44A85" w:rsidRDefault="00975ED0" w:rsidP="00975ED0">
      <w:pPr>
        <w:rPr>
          <w:sz w:val="24"/>
          <w:szCs w:val="24"/>
          <w:lang w:val="en-US"/>
        </w:rPr>
      </w:pPr>
    </w:p>
    <w:p w14:paraId="28EBBF93" w14:textId="77777777" w:rsidR="00975ED0" w:rsidRPr="00A44A85" w:rsidRDefault="00975ED0" w:rsidP="00975ED0">
      <w:pPr>
        <w:rPr>
          <w:b/>
          <w:bCs/>
          <w:sz w:val="24"/>
          <w:szCs w:val="24"/>
          <w:u w:val="single"/>
          <w:lang w:val="en-US"/>
        </w:rPr>
      </w:pPr>
    </w:p>
    <w:p w14:paraId="6DA76B6C" w14:textId="0ECE7F0D" w:rsidR="003E394F" w:rsidRDefault="003E394F" w:rsidP="003E394F">
      <w:pPr>
        <w:rPr>
          <w:b/>
          <w:bCs/>
          <w:sz w:val="24"/>
          <w:szCs w:val="24"/>
          <w:u w:val="single"/>
        </w:rPr>
      </w:pPr>
      <w:r>
        <w:rPr>
          <w:b/>
          <w:bCs/>
          <w:sz w:val="24"/>
          <w:szCs w:val="24"/>
          <w:u w:val="single"/>
        </w:rPr>
        <w:t xml:space="preserve">Gagnant du prix « Fournisseur de l’année »: 2023, par catégorie </w:t>
      </w:r>
    </w:p>
    <w:p w14:paraId="7D602D13" w14:textId="25245050" w:rsidR="00975ED0" w:rsidRPr="00424A02" w:rsidRDefault="00975ED0" w:rsidP="0002070C">
      <w:pPr>
        <w:rPr>
          <w:sz w:val="24"/>
          <w:szCs w:val="24"/>
        </w:rPr>
      </w:pPr>
    </w:p>
    <w:p w14:paraId="4B3C7777" w14:textId="3B1374BB" w:rsidR="00662234" w:rsidRPr="00424A02" w:rsidRDefault="00662234" w:rsidP="76216520">
      <w:pPr>
        <w:rPr>
          <w:b/>
          <w:bCs/>
          <w:sz w:val="24"/>
          <w:szCs w:val="24"/>
          <w:lang w:val="en-US"/>
        </w:rPr>
      </w:pPr>
      <w:r w:rsidRPr="00424A02">
        <w:rPr>
          <w:b/>
          <w:bCs/>
          <w:sz w:val="24"/>
          <w:szCs w:val="24"/>
          <w:lang w:val="en-US"/>
        </w:rPr>
        <w:t>Indirect Services</w:t>
      </w:r>
    </w:p>
    <w:p w14:paraId="69BFF109" w14:textId="5CD95892" w:rsidR="00662234" w:rsidRPr="00424A02" w:rsidRDefault="00662234" w:rsidP="00662234">
      <w:pPr>
        <w:rPr>
          <w:iCs/>
          <w:sz w:val="24"/>
          <w:szCs w:val="24"/>
          <w:lang w:val="en-US"/>
        </w:rPr>
      </w:pPr>
      <w:r w:rsidRPr="00424A02">
        <w:rPr>
          <w:iCs/>
          <w:sz w:val="24"/>
          <w:szCs w:val="24"/>
          <w:lang w:val="en-US"/>
        </w:rPr>
        <w:t>Accenture</w:t>
      </w:r>
    </w:p>
    <w:p w14:paraId="1CA6FD53" w14:textId="77777777" w:rsidR="003D2DD4" w:rsidRPr="00A44A85" w:rsidRDefault="003D2DD4" w:rsidP="00CF2E3A">
      <w:pPr>
        <w:rPr>
          <w:b/>
          <w:bCs/>
          <w:sz w:val="24"/>
          <w:szCs w:val="24"/>
          <w:lang w:val="en-US"/>
        </w:rPr>
      </w:pPr>
    </w:p>
    <w:p w14:paraId="6DD973CB" w14:textId="6A94F56A" w:rsidR="00CF2E3A" w:rsidRPr="00424A02" w:rsidRDefault="00CF2E3A" w:rsidP="00CF2E3A">
      <w:pPr>
        <w:rPr>
          <w:sz w:val="24"/>
          <w:szCs w:val="24"/>
          <w:lang w:val="en-US"/>
        </w:rPr>
      </w:pPr>
      <w:r w:rsidRPr="00424A02">
        <w:rPr>
          <w:b/>
          <w:bCs/>
          <w:sz w:val="24"/>
          <w:szCs w:val="24"/>
          <w:lang w:val="en-US"/>
        </w:rPr>
        <w:t>Quality</w:t>
      </w:r>
    </w:p>
    <w:p w14:paraId="4A3C36FF" w14:textId="4E27F188" w:rsidR="00CF2E3A" w:rsidRPr="00424A02" w:rsidRDefault="00367AAD" w:rsidP="00CF2E3A">
      <w:pPr>
        <w:rPr>
          <w:b/>
          <w:bCs/>
          <w:sz w:val="24"/>
          <w:szCs w:val="24"/>
          <w:lang w:val="en-US"/>
        </w:rPr>
      </w:pPr>
      <w:r w:rsidRPr="00424A02">
        <w:rPr>
          <w:iCs/>
          <w:sz w:val="24"/>
          <w:szCs w:val="24"/>
          <w:lang w:val="en-US"/>
        </w:rPr>
        <w:t>Gestamp</w:t>
      </w:r>
      <w:r w:rsidRPr="00424A02">
        <w:rPr>
          <w:sz w:val="24"/>
          <w:szCs w:val="24"/>
          <w:lang w:val="en-US"/>
        </w:rPr>
        <w:t xml:space="preserve"> </w:t>
      </w:r>
    </w:p>
    <w:p w14:paraId="0316B5F9" w14:textId="77777777" w:rsidR="00CF2E3A" w:rsidRPr="00A44A85" w:rsidRDefault="00CF2E3A" w:rsidP="00CF2E3A">
      <w:pPr>
        <w:rPr>
          <w:sz w:val="24"/>
          <w:szCs w:val="24"/>
          <w:lang w:val="en-US"/>
        </w:rPr>
      </w:pPr>
    </w:p>
    <w:p w14:paraId="194FC310" w14:textId="3A712D1A" w:rsidR="00CF2E3A" w:rsidRPr="00424A02" w:rsidRDefault="00975ED0" w:rsidP="00CF2E3A">
      <w:pPr>
        <w:rPr>
          <w:b/>
          <w:bCs/>
          <w:sz w:val="24"/>
          <w:szCs w:val="24"/>
          <w:lang w:val="en-US"/>
        </w:rPr>
      </w:pPr>
      <w:r w:rsidRPr="00424A02">
        <w:rPr>
          <w:b/>
          <w:bCs/>
          <w:sz w:val="24"/>
          <w:szCs w:val="24"/>
          <w:lang w:val="en-US"/>
        </w:rPr>
        <w:t>Direct Material Performance</w:t>
      </w:r>
    </w:p>
    <w:p w14:paraId="23FAF9BC" w14:textId="0B74C2BA" w:rsidR="00CF2E3A" w:rsidRPr="00424A02" w:rsidRDefault="003F51E7" w:rsidP="00CF2E3A">
      <w:pPr>
        <w:rPr>
          <w:sz w:val="24"/>
          <w:szCs w:val="24"/>
          <w:lang w:val="en-US"/>
        </w:rPr>
      </w:pPr>
      <w:r w:rsidRPr="00424A02">
        <w:rPr>
          <w:iCs/>
          <w:sz w:val="24"/>
          <w:szCs w:val="24"/>
          <w:lang w:val="en-US"/>
        </w:rPr>
        <w:t xml:space="preserve">Contemporary </w:t>
      </w:r>
      <w:proofErr w:type="spellStart"/>
      <w:r w:rsidRPr="00424A02">
        <w:rPr>
          <w:iCs/>
          <w:sz w:val="24"/>
          <w:szCs w:val="24"/>
          <w:lang w:val="en-US"/>
        </w:rPr>
        <w:t>Amperex</w:t>
      </w:r>
      <w:proofErr w:type="spellEnd"/>
      <w:r w:rsidRPr="00424A02">
        <w:rPr>
          <w:iCs/>
          <w:sz w:val="24"/>
          <w:szCs w:val="24"/>
          <w:lang w:val="en-US"/>
        </w:rPr>
        <w:t xml:space="preserve"> Technology Limited (CATL)</w:t>
      </w:r>
    </w:p>
    <w:p w14:paraId="37CB257B" w14:textId="77777777" w:rsidR="00514583" w:rsidRPr="00A44A85" w:rsidRDefault="00514583" w:rsidP="00CF2E3A">
      <w:pPr>
        <w:rPr>
          <w:b/>
          <w:bCs/>
          <w:sz w:val="24"/>
          <w:szCs w:val="24"/>
          <w:lang w:val="en-US"/>
        </w:rPr>
      </w:pPr>
    </w:p>
    <w:p w14:paraId="5C926F7F" w14:textId="1C6708D9" w:rsidR="00CF2E3A" w:rsidRPr="00424A02" w:rsidRDefault="00CF2E3A" w:rsidP="00CF2E3A">
      <w:pPr>
        <w:rPr>
          <w:b/>
          <w:bCs/>
          <w:sz w:val="24"/>
          <w:szCs w:val="24"/>
          <w:lang w:val="en-US"/>
        </w:rPr>
      </w:pPr>
      <w:r w:rsidRPr="00424A02">
        <w:rPr>
          <w:b/>
          <w:bCs/>
          <w:sz w:val="24"/>
          <w:szCs w:val="24"/>
          <w:lang w:val="en-US"/>
        </w:rPr>
        <w:t>Program Management</w:t>
      </w:r>
    </w:p>
    <w:p w14:paraId="78CC332D" w14:textId="1A05E6F1" w:rsidR="00CF2E3A" w:rsidRPr="00424A02" w:rsidRDefault="00367AAD" w:rsidP="00CF2E3A">
      <w:pPr>
        <w:rPr>
          <w:sz w:val="24"/>
          <w:szCs w:val="24"/>
          <w:lang w:val="en-US"/>
        </w:rPr>
      </w:pPr>
      <w:r w:rsidRPr="00424A02">
        <w:rPr>
          <w:iCs/>
          <w:sz w:val="24"/>
          <w:szCs w:val="24"/>
          <w:lang w:val="en-US"/>
        </w:rPr>
        <w:t>Plastic Omnium</w:t>
      </w:r>
    </w:p>
    <w:p w14:paraId="4CD42F98" w14:textId="77777777" w:rsidR="00CF2E3A" w:rsidRPr="00A44A85" w:rsidRDefault="00CF2E3A" w:rsidP="00CF2E3A">
      <w:pPr>
        <w:rPr>
          <w:b/>
          <w:bCs/>
          <w:sz w:val="24"/>
          <w:szCs w:val="24"/>
          <w:lang w:val="en-US"/>
        </w:rPr>
      </w:pPr>
    </w:p>
    <w:p w14:paraId="0332C9F1" w14:textId="77777777" w:rsidR="00CF2E3A" w:rsidRPr="00424A02" w:rsidRDefault="00CF2E3A" w:rsidP="00CF2E3A">
      <w:pPr>
        <w:rPr>
          <w:b/>
          <w:bCs/>
          <w:sz w:val="24"/>
          <w:szCs w:val="24"/>
          <w:lang w:val="en-US"/>
        </w:rPr>
      </w:pPr>
      <w:r w:rsidRPr="00424A02">
        <w:rPr>
          <w:b/>
          <w:bCs/>
          <w:sz w:val="24"/>
          <w:szCs w:val="24"/>
          <w:lang w:val="en-US"/>
        </w:rPr>
        <w:t>Innovation</w:t>
      </w:r>
    </w:p>
    <w:p w14:paraId="4E79CF5B" w14:textId="7AA8F72D" w:rsidR="00CF2E3A" w:rsidRPr="00424A02" w:rsidRDefault="00367AAD" w:rsidP="00CF2E3A">
      <w:pPr>
        <w:rPr>
          <w:sz w:val="24"/>
          <w:szCs w:val="24"/>
          <w:lang w:val="en-US"/>
        </w:rPr>
      </w:pPr>
      <w:r w:rsidRPr="00424A02">
        <w:rPr>
          <w:iCs/>
          <w:sz w:val="24"/>
          <w:szCs w:val="24"/>
          <w:lang w:val="en-US"/>
        </w:rPr>
        <w:t>EFI Automotive</w:t>
      </w:r>
    </w:p>
    <w:p w14:paraId="3214C7BA" w14:textId="77777777" w:rsidR="00CF2E3A" w:rsidRPr="00A44A85" w:rsidRDefault="00CF2E3A" w:rsidP="00CF2E3A">
      <w:pPr>
        <w:rPr>
          <w:sz w:val="24"/>
          <w:szCs w:val="24"/>
          <w:lang w:val="en-US"/>
        </w:rPr>
      </w:pPr>
    </w:p>
    <w:p w14:paraId="060D2911" w14:textId="5F0093F1" w:rsidR="00CF2E3A" w:rsidRPr="00424A02" w:rsidRDefault="00CF2E3A" w:rsidP="00CF2E3A">
      <w:pPr>
        <w:rPr>
          <w:b/>
          <w:bCs/>
          <w:sz w:val="24"/>
          <w:szCs w:val="24"/>
          <w:lang w:val="en-US"/>
        </w:rPr>
      </w:pPr>
      <w:r w:rsidRPr="00424A02">
        <w:rPr>
          <w:b/>
          <w:bCs/>
          <w:sz w:val="24"/>
          <w:szCs w:val="24"/>
          <w:lang w:val="en-US"/>
        </w:rPr>
        <w:lastRenderedPageBreak/>
        <w:t>Corporate Social Responsibility</w:t>
      </w:r>
    </w:p>
    <w:p w14:paraId="41ED1777" w14:textId="24D1B3C7" w:rsidR="00CF2E3A" w:rsidRPr="00424A02" w:rsidRDefault="00367AAD" w:rsidP="00CF2E3A">
      <w:pPr>
        <w:rPr>
          <w:sz w:val="24"/>
          <w:szCs w:val="24"/>
          <w:lang w:val="en-US"/>
        </w:rPr>
      </w:pPr>
      <w:r w:rsidRPr="00424A02">
        <w:rPr>
          <w:iCs/>
          <w:sz w:val="24"/>
          <w:szCs w:val="24"/>
          <w:lang w:val="en-US"/>
        </w:rPr>
        <w:t>Pirelli Tire LLC</w:t>
      </w:r>
    </w:p>
    <w:p w14:paraId="3FAA031A" w14:textId="77777777" w:rsidR="00CF2E3A" w:rsidRPr="00A44A85" w:rsidRDefault="00CF2E3A" w:rsidP="00CF2E3A">
      <w:pPr>
        <w:rPr>
          <w:sz w:val="24"/>
          <w:szCs w:val="24"/>
          <w:lang w:val="en-US"/>
        </w:rPr>
      </w:pPr>
    </w:p>
    <w:p w14:paraId="7845D23C" w14:textId="541FE688" w:rsidR="00CF2E3A" w:rsidRPr="00424A02" w:rsidRDefault="00CF2E3A" w:rsidP="00CF2E3A">
      <w:pPr>
        <w:rPr>
          <w:b/>
          <w:bCs/>
          <w:sz w:val="24"/>
          <w:szCs w:val="24"/>
          <w:lang w:val="en-US"/>
        </w:rPr>
      </w:pPr>
      <w:r w:rsidRPr="00424A02">
        <w:rPr>
          <w:b/>
          <w:bCs/>
          <w:sz w:val="24"/>
          <w:szCs w:val="24"/>
          <w:lang w:val="en-US"/>
        </w:rPr>
        <w:t>Capex</w:t>
      </w:r>
    </w:p>
    <w:p w14:paraId="299F472D" w14:textId="52177920" w:rsidR="00CF2E3A" w:rsidRPr="00424A02" w:rsidRDefault="00367AAD" w:rsidP="00CF2E3A">
      <w:pPr>
        <w:rPr>
          <w:sz w:val="24"/>
          <w:szCs w:val="24"/>
          <w:lang w:val="en-US"/>
        </w:rPr>
      </w:pPr>
      <w:r w:rsidRPr="00424A02">
        <w:rPr>
          <w:iCs/>
          <w:sz w:val="24"/>
          <w:szCs w:val="24"/>
          <w:lang w:val="en-US"/>
        </w:rPr>
        <w:t xml:space="preserve">Qian Yuan </w:t>
      </w:r>
      <w:proofErr w:type="spellStart"/>
      <w:r w:rsidRPr="00424A02">
        <w:rPr>
          <w:iCs/>
          <w:sz w:val="24"/>
          <w:szCs w:val="24"/>
          <w:lang w:val="en-US"/>
        </w:rPr>
        <w:t>Mould</w:t>
      </w:r>
      <w:proofErr w:type="spellEnd"/>
      <w:r w:rsidRPr="00424A02">
        <w:rPr>
          <w:iCs/>
          <w:sz w:val="24"/>
          <w:szCs w:val="24"/>
          <w:lang w:val="en-US"/>
        </w:rPr>
        <w:t xml:space="preserve"> </w:t>
      </w:r>
    </w:p>
    <w:p w14:paraId="5E7A5B18" w14:textId="77777777" w:rsidR="00CF2E3A" w:rsidRPr="00A44A85" w:rsidRDefault="00CF2E3A" w:rsidP="00CF2E3A">
      <w:pPr>
        <w:rPr>
          <w:sz w:val="24"/>
          <w:szCs w:val="24"/>
          <w:lang w:val="en-US"/>
        </w:rPr>
      </w:pPr>
    </w:p>
    <w:p w14:paraId="17058814" w14:textId="33174415" w:rsidR="00CF2E3A" w:rsidRPr="00424A02" w:rsidRDefault="00CF2E3A" w:rsidP="00CF2E3A">
      <w:pPr>
        <w:rPr>
          <w:b/>
          <w:bCs/>
          <w:sz w:val="24"/>
          <w:szCs w:val="24"/>
          <w:lang w:val="en-US"/>
        </w:rPr>
      </w:pPr>
      <w:r w:rsidRPr="00424A02">
        <w:rPr>
          <w:b/>
          <w:bCs/>
          <w:sz w:val="24"/>
          <w:szCs w:val="24"/>
          <w:lang w:val="en-US"/>
        </w:rPr>
        <w:t>Supply Chain Parts</w:t>
      </w:r>
    </w:p>
    <w:p w14:paraId="4A42315F" w14:textId="54D2C683" w:rsidR="00CF2E3A" w:rsidRPr="00424A02" w:rsidRDefault="00367AAD" w:rsidP="00CF2E3A">
      <w:pPr>
        <w:rPr>
          <w:sz w:val="24"/>
          <w:szCs w:val="24"/>
          <w:lang w:val="en-US"/>
        </w:rPr>
      </w:pPr>
      <w:r w:rsidRPr="00424A02">
        <w:rPr>
          <w:iCs/>
          <w:sz w:val="24"/>
          <w:szCs w:val="24"/>
          <w:lang w:val="en-US"/>
        </w:rPr>
        <w:t>Aisin Corporation</w:t>
      </w:r>
    </w:p>
    <w:p w14:paraId="686CD5A3" w14:textId="3776D7E0" w:rsidR="00CF2E3A" w:rsidRPr="00A44A85" w:rsidRDefault="00CF2E3A" w:rsidP="00CF2E3A">
      <w:pPr>
        <w:rPr>
          <w:sz w:val="24"/>
          <w:szCs w:val="24"/>
          <w:lang w:val="en-US"/>
        </w:rPr>
      </w:pPr>
    </w:p>
    <w:p w14:paraId="109E8080" w14:textId="4302E8E0" w:rsidR="00975ED0" w:rsidRPr="00424A02" w:rsidRDefault="00975ED0" w:rsidP="00975ED0">
      <w:pPr>
        <w:rPr>
          <w:b/>
          <w:bCs/>
          <w:sz w:val="24"/>
          <w:szCs w:val="24"/>
          <w:lang w:val="en-US"/>
        </w:rPr>
      </w:pPr>
      <w:r w:rsidRPr="00424A02">
        <w:rPr>
          <w:b/>
          <w:bCs/>
          <w:sz w:val="24"/>
          <w:szCs w:val="24"/>
          <w:lang w:val="en-US"/>
        </w:rPr>
        <w:t>Supply Chain Logistics</w:t>
      </w:r>
    </w:p>
    <w:p w14:paraId="2BB46F77" w14:textId="2A74D01C" w:rsidR="00975ED0" w:rsidRPr="00424A02" w:rsidRDefault="00367AAD" w:rsidP="00975ED0">
      <w:pPr>
        <w:rPr>
          <w:sz w:val="24"/>
          <w:szCs w:val="24"/>
          <w:lang w:val="en-US"/>
        </w:rPr>
      </w:pPr>
      <w:r w:rsidRPr="00424A02">
        <w:rPr>
          <w:iCs/>
          <w:sz w:val="24"/>
          <w:szCs w:val="24"/>
          <w:lang w:val="en-US"/>
        </w:rPr>
        <w:t>Bertani Transport</w:t>
      </w:r>
    </w:p>
    <w:p w14:paraId="3B0D8383" w14:textId="107B15E1" w:rsidR="00975ED0" w:rsidRPr="00A44A85" w:rsidRDefault="00975ED0" w:rsidP="00975ED0">
      <w:pPr>
        <w:rPr>
          <w:sz w:val="24"/>
          <w:szCs w:val="24"/>
          <w:lang w:val="en-US"/>
        </w:rPr>
      </w:pPr>
    </w:p>
    <w:p w14:paraId="5D0311AF" w14:textId="3B809BD8" w:rsidR="00975ED0" w:rsidRPr="00424A02" w:rsidRDefault="00975ED0" w:rsidP="00975ED0">
      <w:pPr>
        <w:rPr>
          <w:b/>
          <w:bCs/>
          <w:sz w:val="24"/>
          <w:szCs w:val="24"/>
          <w:lang w:val="en-US"/>
        </w:rPr>
      </w:pPr>
      <w:r w:rsidRPr="00424A02">
        <w:rPr>
          <w:b/>
          <w:bCs/>
          <w:sz w:val="24"/>
          <w:szCs w:val="24"/>
          <w:lang w:val="en-US"/>
        </w:rPr>
        <w:t xml:space="preserve">Aftermarket </w:t>
      </w:r>
    </w:p>
    <w:p w14:paraId="65448490" w14:textId="03475C3B" w:rsidR="00975ED0" w:rsidRPr="00A44A85" w:rsidRDefault="00493391" w:rsidP="00CF2E3A">
      <w:pPr>
        <w:rPr>
          <w:sz w:val="24"/>
          <w:szCs w:val="24"/>
        </w:rPr>
      </w:pPr>
      <w:proofErr w:type="spellStart"/>
      <w:r>
        <w:rPr>
          <w:sz w:val="24"/>
          <w:szCs w:val="24"/>
        </w:rPr>
        <w:t>Sercore</w:t>
      </w:r>
      <w:proofErr w:type="spellEnd"/>
      <w:r>
        <w:rPr>
          <w:sz w:val="24"/>
          <w:szCs w:val="24"/>
        </w:rPr>
        <w:t xml:space="preserve"> Tech </w:t>
      </w:r>
      <w:bookmarkStart w:id="1" w:name="_Int_haBgGrEd"/>
      <w:r>
        <w:rPr>
          <w:sz w:val="24"/>
          <w:szCs w:val="24"/>
        </w:rPr>
        <w:t>SL</w:t>
      </w:r>
      <w:bookmarkEnd w:id="1"/>
    </w:p>
    <w:p w14:paraId="621934DD" w14:textId="77777777" w:rsidR="00367AAD" w:rsidRPr="00424A02" w:rsidRDefault="00367AAD" w:rsidP="00CF2E3A">
      <w:pPr>
        <w:rPr>
          <w:sz w:val="21"/>
          <w:szCs w:val="21"/>
        </w:rPr>
      </w:pPr>
    </w:p>
    <w:p w14:paraId="12BADFAD" w14:textId="52BEB39E" w:rsidR="006B2684" w:rsidRPr="00E86F4D" w:rsidRDefault="00AB5197" w:rsidP="00E86F4D">
      <w:pPr>
        <w:spacing w:before="480" w:after="480"/>
        <w:ind w:left="1416" w:right="1457" w:firstLine="708"/>
        <w:contextualSpacing/>
        <w:jc w:val="center"/>
        <w:rPr>
          <w:bCs/>
          <w:iCs/>
          <w:noProof/>
          <w:sz w:val="24"/>
          <w:szCs w:val="24"/>
        </w:rPr>
      </w:pPr>
      <w:r w:rsidRPr="00E86F4D">
        <w:rPr>
          <w:bCs/>
          <w:iCs/>
          <w:sz w:val="24"/>
          <w:szCs w:val="24"/>
        </w:rPr>
        <w:t>#</w:t>
      </w:r>
      <w:r w:rsidR="001B31D0">
        <w:rPr>
          <w:bCs/>
          <w:iCs/>
          <w:sz w:val="24"/>
          <w:szCs w:val="24"/>
        </w:rPr>
        <w:t xml:space="preserve"> </w:t>
      </w:r>
      <w:r w:rsidRPr="00E86F4D">
        <w:rPr>
          <w:bCs/>
          <w:iCs/>
          <w:sz w:val="24"/>
          <w:szCs w:val="24"/>
        </w:rPr>
        <w:t>#</w:t>
      </w:r>
      <w:r w:rsidR="001B31D0">
        <w:rPr>
          <w:bCs/>
          <w:iCs/>
          <w:sz w:val="24"/>
          <w:szCs w:val="24"/>
        </w:rPr>
        <w:t xml:space="preserve"> </w:t>
      </w:r>
      <w:r w:rsidRPr="00E86F4D">
        <w:rPr>
          <w:bCs/>
          <w:iCs/>
          <w:sz w:val="24"/>
          <w:szCs w:val="24"/>
        </w:rPr>
        <w:t>#</w:t>
      </w:r>
    </w:p>
    <w:p w14:paraId="1DFE7EF7" w14:textId="77777777" w:rsidR="00AB5197" w:rsidRPr="00424A02" w:rsidRDefault="00AB5197" w:rsidP="005A7517">
      <w:pPr>
        <w:spacing w:before="480" w:after="480"/>
        <w:ind w:right="1457"/>
        <w:contextualSpacing/>
        <w:rPr>
          <w:b/>
          <w:i/>
          <w:noProof/>
          <w:color w:val="243782" w:themeColor="text2"/>
          <w:sz w:val="24"/>
          <w:szCs w:val="24"/>
        </w:rPr>
      </w:pPr>
    </w:p>
    <w:p w14:paraId="459655A8" w14:textId="39F59915" w:rsidR="005A7517" w:rsidRDefault="005A7517" w:rsidP="005A7517">
      <w:pPr>
        <w:spacing w:before="480" w:after="480"/>
        <w:ind w:right="1457"/>
        <w:contextualSpacing/>
        <w:rPr>
          <w:b/>
          <w:i/>
          <w:noProof/>
          <w:color w:val="243782" w:themeColor="text2"/>
          <w:sz w:val="24"/>
          <w:szCs w:val="24"/>
        </w:rPr>
      </w:pPr>
      <w:r>
        <w:rPr>
          <w:b/>
          <w:i/>
          <w:color w:val="243782" w:themeColor="text2"/>
          <w:sz w:val="24"/>
          <w:szCs w:val="24"/>
        </w:rPr>
        <w:t>À propos de Stellantis</w:t>
      </w:r>
    </w:p>
    <w:p w14:paraId="2D93FD5E" w14:textId="77777777" w:rsidR="0062579C" w:rsidRPr="00424A02" w:rsidRDefault="0062579C" w:rsidP="005A7517">
      <w:pPr>
        <w:spacing w:before="480" w:after="480"/>
        <w:ind w:right="1457"/>
        <w:contextualSpacing/>
        <w:rPr>
          <w:b/>
          <w:i/>
          <w:noProof/>
          <w:color w:val="243782" w:themeColor="text2"/>
          <w:sz w:val="24"/>
          <w:szCs w:val="24"/>
        </w:rPr>
      </w:pPr>
    </w:p>
    <w:p w14:paraId="3360F343" w14:textId="28D8E691" w:rsidR="005A7517" w:rsidRPr="001A6259" w:rsidRDefault="005A7517" w:rsidP="005A7517">
      <w:pPr>
        <w:spacing w:after="240"/>
        <w:rPr>
          <w:i/>
          <w:sz w:val="24"/>
        </w:rPr>
      </w:pPr>
      <w:r>
        <w:rPr>
          <w:i/>
          <w:iCs/>
          <w:sz w:val="24"/>
        </w:rPr>
        <w:t xml:space="preserve">Stellantis N.V. (NYSE: STLA / Euronext Milan: STLAM / Euronext Paris: STLAP) fait partie des principaux constructeurs automobiles et fournisseurs de services de mobilité internationaux.  </w:t>
      </w:r>
      <w:proofErr w:type="spellStart"/>
      <w:r>
        <w:rPr>
          <w:i/>
          <w:iCs/>
          <w:sz w:val="24"/>
        </w:rPr>
        <w:t>Abarth</w:t>
      </w:r>
      <w:proofErr w:type="spellEnd"/>
      <w:r>
        <w:rPr>
          <w:i/>
          <w:iCs/>
          <w:sz w:val="24"/>
        </w:rPr>
        <w:t xml:space="preserve">, Alfa Romeo, Chrysler, Citroën, Dodge, DS Automobiles, Fiat, Jeep®, Lancia, Maserati, Opel, Peugeot, Ram, Vauxhall, Free2move et </w:t>
      </w:r>
      <w:proofErr w:type="spellStart"/>
      <w:r>
        <w:rPr>
          <w:i/>
          <w:iCs/>
          <w:sz w:val="24"/>
        </w:rPr>
        <w:t>Leasys</w:t>
      </w:r>
      <w:proofErr w:type="spellEnd"/>
      <w:r>
        <w:rPr>
          <w:i/>
          <w:iCs/>
          <w:sz w:val="24"/>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Pr>
          <w:i/>
          <w:iCs/>
          <w:sz w:val="24"/>
        </w:rPr>
        <w:t>company</w:t>
      </w:r>
      <w:proofErr w:type="spellEnd"/>
      <w:r>
        <w:rPr>
          <w:i/>
          <w:iCs/>
          <w:sz w:val="24"/>
        </w:rPr>
        <w:t xml:space="preserve"> de mobilité durable, en termes de qualité et non de taille, tout en créant encore plus de valeur pour l’ensemble de nos partenaires et des communautés au sein desquelles nous opérons.  Pour en savoir plus, www.stellantis.com.</w:t>
      </w:r>
    </w:p>
    <w:tbl>
      <w:tblPr>
        <w:tblStyle w:val="TableGrid"/>
        <w:tblW w:w="56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719"/>
        <w:gridCol w:w="995"/>
      </w:tblGrid>
      <w:tr w:rsidR="00F15A3A" w:rsidRPr="003F17D4" w14:paraId="4A694003" w14:textId="77777777" w:rsidTr="00424A02">
        <w:trPr>
          <w:trHeight w:val="729"/>
        </w:trPr>
        <w:tc>
          <w:tcPr>
            <w:tcW w:w="689" w:type="dxa"/>
            <w:vAlign w:val="center"/>
          </w:tcPr>
          <w:p w14:paraId="34B8AB0E" w14:textId="73FA3731" w:rsidR="00F15A3A" w:rsidRPr="00AF5A10" w:rsidRDefault="00F15A3A" w:rsidP="00F15A3A">
            <w:pPr>
              <w:jc w:val="left"/>
              <w:rPr>
                <w:color w:val="243782" w:themeColor="text2"/>
                <w:sz w:val="22"/>
                <w:szCs w:val="22"/>
              </w:rPr>
            </w:pPr>
            <w:r w:rsidRPr="006279C9">
              <w:rPr>
                <w:noProof/>
                <w:color w:val="243782" w:themeColor="text2"/>
                <w:sz w:val="22"/>
                <w:szCs w:val="22"/>
              </w:rPr>
              <w:drawing>
                <wp:anchor distT="0" distB="0" distL="114300" distR="114300" simplePos="0" relativeHeight="251665408" behindDoc="0" locked="0" layoutInCell="1" allowOverlap="1" wp14:anchorId="6124382D" wp14:editId="458C0D69">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777CC621" w14:textId="641CE3EB" w:rsidR="00F15A3A" w:rsidRPr="00AF5A10" w:rsidRDefault="00000000" w:rsidP="00F15A3A">
            <w:pPr>
              <w:spacing w:before="120"/>
              <w:jc w:val="left"/>
              <w:rPr>
                <w:color w:val="243782" w:themeColor="text2"/>
                <w:sz w:val="22"/>
                <w:szCs w:val="22"/>
              </w:rPr>
            </w:pPr>
            <w:hyperlink r:id="rId12" w:history="1">
              <w:r w:rsidR="00F15A3A" w:rsidRPr="00FE4474">
                <w:rPr>
                  <w:rStyle w:val="Hyperlink"/>
                  <w:sz w:val="22"/>
                  <w:szCs w:val="22"/>
                  <w:u w:val="single"/>
                </w:rPr>
                <w:t>@Stellantis</w:t>
              </w:r>
            </w:hyperlink>
          </w:p>
        </w:tc>
        <w:tc>
          <w:tcPr>
            <w:tcW w:w="594" w:type="dxa"/>
            <w:vAlign w:val="center"/>
          </w:tcPr>
          <w:p w14:paraId="08C9D7CD" w14:textId="6C3ECFCB" w:rsidR="00F15A3A" w:rsidRPr="00AF5A10" w:rsidRDefault="00F15A3A" w:rsidP="00F15A3A">
            <w:pPr>
              <w:jc w:val="left"/>
              <w:rPr>
                <w:color w:val="243782" w:themeColor="text2"/>
                <w:sz w:val="22"/>
                <w:szCs w:val="22"/>
              </w:rPr>
            </w:pPr>
            <w:r w:rsidRPr="006279C9">
              <w:rPr>
                <w:noProof/>
                <w:color w:val="243782" w:themeColor="text2"/>
                <w:sz w:val="22"/>
                <w:szCs w:val="22"/>
              </w:rPr>
              <w:drawing>
                <wp:anchor distT="0" distB="0" distL="114300" distR="114300" simplePos="0" relativeHeight="251666432" behindDoc="1" locked="0" layoutInCell="1" allowOverlap="1" wp14:anchorId="40B67EF4" wp14:editId="3431392C">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419D4C77" w14:textId="2BEB67C4" w:rsidR="00F15A3A" w:rsidRPr="00AF5A10" w:rsidRDefault="00000000" w:rsidP="00F15A3A">
            <w:pPr>
              <w:spacing w:before="120"/>
              <w:jc w:val="left"/>
              <w:rPr>
                <w:color w:val="243782" w:themeColor="text2"/>
                <w:sz w:val="22"/>
                <w:szCs w:val="22"/>
              </w:rPr>
            </w:pPr>
            <w:hyperlink r:id="rId14" w:history="1">
              <w:proofErr w:type="spellStart"/>
              <w:r w:rsidR="00F15A3A" w:rsidRPr="00FE4474">
                <w:rPr>
                  <w:rStyle w:val="Hyperlink"/>
                  <w:sz w:val="22"/>
                  <w:szCs w:val="22"/>
                  <w:u w:val="single"/>
                </w:rPr>
                <w:t>Stellantis</w:t>
              </w:r>
              <w:proofErr w:type="spellEnd"/>
            </w:hyperlink>
          </w:p>
        </w:tc>
        <w:tc>
          <w:tcPr>
            <w:tcW w:w="586" w:type="dxa"/>
            <w:vAlign w:val="center"/>
          </w:tcPr>
          <w:p w14:paraId="4A8B37BD" w14:textId="5CBFF6EB" w:rsidR="00F15A3A" w:rsidRPr="00AF5A10" w:rsidRDefault="00F15A3A" w:rsidP="00F15A3A">
            <w:pPr>
              <w:jc w:val="left"/>
              <w:rPr>
                <w:color w:val="243782" w:themeColor="text2"/>
                <w:sz w:val="22"/>
                <w:szCs w:val="22"/>
              </w:rPr>
            </w:pPr>
            <w:r w:rsidRPr="006279C9">
              <w:rPr>
                <w:noProof/>
                <w:color w:val="243782" w:themeColor="text2"/>
                <w:sz w:val="22"/>
                <w:szCs w:val="22"/>
              </w:rPr>
              <w:drawing>
                <wp:anchor distT="0" distB="0" distL="114300" distR="114300" simplePos="0" relativeHeight="251667456" behindDoc="1" locked="0" layoutInCell="1" allowOverlap="1" wp14:anchorId="4B707C06" wp14:editId="3552D1A4">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6D161037" w14:textId="73D27399" w:rsidR="00F15A3A" w:rsidRPr="00AF5A10" w:rsidRDefault="00000000" w:rsidP="00F15A3A">
            <w:pPr>
              <w:spacing w:before="120"/>
              <w:jc w:val="left"/>
              <w:rPr>
                <w:color w:val="243782" w:themeColor="text2"/>
                <w:sz w:val="22"/>
                <w:szCs w:val="22"/>
              </w:rPr>
            </w:pPr>
            <w:hyperlink r:id="rId16" w:history="1">
              <w:proofErr w:type="spellStart"/>
              <w:r w:rsidR="00F15A3A" w:rsidRPr="00FE4474">
                <w:rPr>
                  <w:rStyle w:val="Hyperlink"/>
                  <w:sz w:val="22"/>
                  <w:szCs w:val="22"/>
                  <w:u w:val="single"/>
                </w:rPr>
                <w:t>Stellantis</w:t>
              </w:r>
              <w:proofErr w:type="spellEnd"/>
            </w:hyperlink>
          </w:p>
        </w:tc>
        <w:tc>
          <w:tcPr>
            <w:tcW w:w="604" w:type="dxa"/>
            <w:vAlign w:val="center"/>
          </w:tcPr>
          <w:p w14:paraId="0278EEA4" w14:textId="6541FA87" w:rsidR="00F15A3A" w:rsidRPr="00AF5A10" w:rsidRDefault="00F15A3A" w:rsidP="00F15A3A">
            <w:pPr>
              <w:jc w:val="left"/>
              <w:rPr>
                <w:color w:val="243782" w:themeColor="text2"/>
                <w:sz w:val="22"/>
                <w:szCs w:val="22"/>
              </w:rPr>
            </w:pPr>
            <w:r w:rsidRPr="006279C9">
              <w:rPr>
                <w:noProof/>
                <w:color w:val="243782" w:themeColor="text2"/>
                <w:sz w:val="22"/>
                <w:szCs w:val="22"/>
              </w:rPr>
              <w:drawing>
                <wp:anchor distT="0" distB="0" distL="114300" distR="114300" simplePos="0" relativeHeight="251668480" behindDoc="1" locked="0" layoutInCell="1" allowOverlap="1" wp14:anchorId="2F34FB90" wp14:editId="1EA39A1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gridSpan w:val="2"/>
          </w:tcPr>
          <w:p w14:paraId="4CA3FE8D" w14:textId="0922C5FB" w:rsidR="00F15A3A" w:rsidRPr="00AF5A10" w:rsidRDefault="00000000" w:rsidP="00F15A3A">
            <w:pPr>
              <w:spacing w:before="120"/>
              <w:jc w:val="left"/>
              <w:rPr>
                <w:color w:val="243782" w:themeColor="text2"/>
                <w:sz w:val="22"/>
                <w:szCs w:val="22"/>
              </w:rPr>
            </w:pPr>
            <w:hyperlink r:id="rId18" w:history="1">
              <w:proofErr w:type="spellStart"/>
              <w:r w:rsidR="00F15A3A" w:rsidRPr="00FE4474">
                <w:rPr>
                  <w:rStyle w:val="Hyperlink"/>
                  <w:sz w:val="22"/>
                  <w:szCs w:val="22"/>
                  <w:u w:val="single"/>
                </w:rPr>
                <w:t>Stellantis</w:t>
              </w:r>
              <w:proofErr w:type="spellEnd"/>
            </w:hyperlink>
          </w:p>
        </w:tc>
      </w:tr>
      <w:tr w:rsidR="00397749" w:rsidRPr="00404EF5" w14:paraId="02DE1837" w14:textId="77777777" w:rsidTr="00AB5197">
        <w:tblPrEx>
          <w:tblCellMar>
            <w:right w:w="57" w:type="dxa"/>
          </w:tblCellMar>
        </w:tblPrEx>
        <w:trPr>
          <w:gridAfter w:val="1"/>
          <w:wAfter w:w="995" w:type="dxa"/>
          <w:trHeight w:val="2043"/>
        </w:trPr>
        <w:tc>
          <w:tcPr>
            <w:tcW w:w="7936" w:type="dxa"/>
            <w:gridSpan w:val="8"/>
          </w:tcPr>
          <w:p w14:paraId="6CAA6EC6" w14:textId="6F82688A" w:rsidR="00397749" w:rsidRPr="00397749" w:rsidRDefault="007F6784" w:rsidP="00397749">
            <w:pPr>
              <w:spacing w:after="240"/>
              <w:rPr>
                <w:sz w:val="24"/>
              </w:rPr>
            </w:pPr>
            <w:r>
              <w:rPr>
                <w:noProof/>
              </w:rPr>
              <mc:AlternateContent>
                <mc:Choice Requires="wps">
                  <w:drawing>
                    <wp:inline distT="0" distB="0" distL="0" distR="0" wp14:anchorId="4F5D777C" wp14:editId="43355172">
                      <wp:extent cx="431800" cy="62230"/>
                      <wp:effectExtent l="9525" t="0" r="6350" b="4445"/>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DDF1162">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" w14:anchorId="00BD5F4D">
                      <v:path arrowok="t" o:connecttype="custom" o:connectlocs="489729507,98790923;0,98790923;40190334,0;526942373,0;489729507,98790923" o:connectangles="0,0,0,0,0"/>
                      <w10:anchorlock/>
                    </v:shape>
                  </w:pict>
                </mc:Fallback>
              </mc:AlternateContent>
            </w:r>
          </w:p>
          <w:p w14:paraId="61689D09" w14:textId="77777777" w:rsidR="00397749" w:rsidRPr="00397749" w:rsidRDefault="00397749" w:rsidP="00397749">
            <w:pPr>
              <w:spacing w:after="120" w:line="288" w:lineRule="auto"/>
              <w:jc w:val="left"/>
              <w:rPr>
                <w:rFonts w:asciiTheme="majorHAnsi" w:hAnsiTheme="majorHAnsi"/>
                <w:bCs/>
                <w:color w:val="243782" w:themeColor="text2"/>
                <w:sz w:val="24"/>
                <w:szCs w:val="18"/>
              </w:rPr>
            </w:pPr>
            <w:bookmarkStart w:id="2" w:name="_Hlk61784883"/>
            <w:r>
              <w:rPr>
                <w:rFonts w:asciiTheme="majorHAnsi" w:hAnsiTheme="majorHAnsi"/>
                <w:bCs/>
                <w:color w:val="243782" w:themeColor="text2"/>
                <w:sz w:val="24"/>
                <w:szCs w:val="18"/>
              </w:rPr>
              <w:t>Pour plus d’informations, merci de contacter :</w:t>
            </w:r>
          </w:p>
          <w:p w14:paraId="055D4CE5" w14:textId="03EAE6EA" w:rsidR="00397749" w:rsidRPr="00E86F4D" w:rsidRDefault="00000000" w:rsidP="00397749">
            <w:pPr>
              <w:spacing w:before="240" w:line="360" w:lineRule="auto"/>
              <w:contextualSpacing/>
              <w:jc w:val="left"/>
              <w:rPr>
                <w:rFonts w:asciiTheme="majorHAnsi" w:hAnsiTheme="majorHAnsi"/>
                <w:color w:val="243782" w:themeColor="text2"/>
                <w:sz w:val="22"/>
                <w:szCs w:val="22"/>
                <w:lang w:val="es-ES"/>
              </w:rPr>
            </w:pPr>
            <w:sdt>
              <w:sdtPr>
                <w:rPr>
                  <w:rFonts w:asciiTheme="majorHAnsi" w:hAnsiTheme="majorHAnsi"/>
                  <w:color w:val="243782" w:themeColor="text2"/>
                  <w:sz w:val="22"/>
                  <w:szCs w:val="22"/>
                </w:rPr>
                <w:id w:val="874809613"/>
                <w:placeholder>
                  <w:docPart w:val="B8451630A621437AB1EC0528DFA4BCBB"/>
                </w:placeholder>
                <w15:appearance w15:val="hidden"/>
              </w:sdtPr>
              <w:sdtContent>
                <w:proofErr w:type="spellStart"/>
                <w:r w:rsidR="00B21A90" w:rsidRPr="00E86F4D">
                  <w:rPr>
                    <w:rFonts w:asciiTheme="majorHAnsi" w:hAnsiTheme="majorHAnsi"/>
                    <w:color w:val="243782" w:themeColor="text2"/>
                    <w:sz w:val="22"/>
                    <w:szCs w:val="22"/>
                    <w:lang w:val="es-ES"/>
                  </w:rPr>
                  <w:t>Fernão</w:t>
                </w:r>
                <w:proofErr w:type="spellEnd"/>
                <w:r w:rsidR="00B21A90" w:rsidRPr="00E86F4D">
                  <w:rPr>
                    <w:rFonts w:asciiTheme="majorHAnsi" w:hAnsiTheme="majorHAnsi"/>
                    <w:color w:val="243782" w:themeColor="text2"/>
                    <w:sz w:val="22"/>
                    <w:szCs w:val="22"/>
                    <w:lang w:val="es-ES"/>
                  </w:rPr>
                  <w:t xml:space="preserve"> SILVEIRA</w:t>
                </w:r>
              </w:sdtContent>
            </w:sdt>
            <w:r w:rsidR="00B21A90" w:rsidRPr="00E86F4D">
              <w:rPr>
                <w:rFonts w:asciiTheme="majorHAnsi" w:hAnsiTheme="majorHAnsi"/>
                <w:color w:val="243782" w:themeColor="text2"/>
                <w:sz w:val="22"/>
                <w:szCs w:val="22"/>
                <w:lang w:val="es-ES"/>
              </w:rPr>
              <w:t xml:space="preserve"> </w:t>
            </w:r>
            <w:sdt>
              <w:sdtPr>
                <w:rPr>
                  <w:rFonts w:asciiTheme="majorHAnsi" w:hAnsiTheme="majorHAnsi"/>
                  <w:color w:val="243782" w:themeColor="text2"/>
                  <w:sz w:val="22"/>
                  <w:szCs w:val="22"/>
                </w:rPr>
                <w:id w:val="204140883"/>
                <w:placeholder>
                  <w:docPart w:val="CD5ACE22D2C3469DB1BA7E519F159C60"/>
                </w:placeholder>
                <w15:appearance w15:val="hidden"/>
              </w:sdtPr>
              <w:sdtContent>
                <w:r w:rsidR="00B21A90" w:rsidRPr="00E86F4D">
                  <w:rPr>
                    <w:color w:val="243782" w:themeColor="text2"/>
                    <w:sz w:val="22"/>
                    <w:szCs w:val="22"/>
                    <w:lang w:val="es-ES"/>
                  </w:rPr>
                  <w:t>+31 6 43 25 43 41 – fernao.silveira@stellantis.com</w:t>
                </w:r>
              </w:sdtContent>
            </w:sdt>
          </w:p>
          <w:p w14:paraId="675BB2DF" w14:textId="77777777" w:rsidR="00397749" w:rsidRPr="00397749" w:rsidRDefault="00000000" w:rsidP="00397749">
            <w:pPr>
              <w:spacing w:before="240" w:line="360" w:lineRule="auto"/>
              <w:contextualSpacing/>
              <w:jc w:val="left"/>
              <w:rPr>
                <w:rFonts w:asciiTheme="majorHAnsi" w:hAnsiTheme="majorHAnsi"/>
                <w:color w:val="243782" w:themeColor="text2"/>
                <w:sz w:val="22"/>
                <w:szCs w:val="22"/>
              </w:rPr>
            </w:pPr>
            <w:sdt>
              <w:sdtPr>
                <w:rPr>
                  <w:rFonts w:asciiTheme="majorHAnsi" w:hAnsiTheme="majorHAnsi"/>
                  <w:color w:val="243782" w:themeColor="text2"/>
                  <w:sz w:val="22"/>
                  <w:szCs w:val="22"/>
                </w:rPr>
                <w:id w:val="1197198362"/>
                <w:placeholder>
                  <w:docPart w:val="DAB2620B6D4048D9A6D50824998AAAE9"/>
                </w:placeholder>
                <w15:appearance w15:val="hidden"/>
              </w:sdtPr>
              <w:sdtContent>
                <w:r w:rsidR="00B21A90">
                  <w:rPr>
                    <w:rFonts w:asciiTheme="majorHAnsi" w:hAnsiTheme="majorHAnsi"/>
                    <w:color w:val="243782" w:themeColor="text2"/>
                    <w:sz w:val="22"/>
                    <w:szCs w:val="22"/>
                  </w:rPr>
                  <w:t>Nathalie ROUSSEL</w:t>
                </w:r>
              </w:sdtContent>
            </w:sdt>
            <w:r w:rsidR="00B21A90">
              <w:rPr>
                <w:rFonts w:asciiTheme="majorHAnsi" w:hAnsiTheme="majorHAnsi"/>
                <w:color w:val="243782" w:themeColor="text2"/>
                <w:sz w:val="22"/>
                <w:szCs w:val="22"/>
              </w:rPr>
              <w:t xml:space="preserve"> </w:t>
            </w:r>
            <w:sdt>
              <w:sdtPr>
                <w:rPr>
                  <w:rFonts w:asciiTheme="majorHAnsi" w:hAnsiTheme="majorHAnsi"/>
                  <w:color w:val="243782" w:themeColor="text2"/>
                  <w:sz w:val="22"/>
                  <w:szCs w:val="22"/>
                </w:rPr>
                <w:id w:val="2059283776"/>
                <w:placeholder>
                  <w:docPart w:val="4144E405B2194AEE8394C099E1CBDFE0"/>
                </w:placeholder>
                <w15:appearance w15:val="hidden"/>
              </w:sdtPr>
              <w:sdtContent>
                <w:r w:rsidR="00B21A90">
                  <w:rPr>
                    <w:color w:val="243782" w:themeColor="text2"/>
                    <w:sz w:val="22"/>
                    <w:szCs w:val="22"/>
                  </w:rPr>
                  <w:t>+33 6 87 77 41 82 – nathalie.roussel@stellantis.com</w:t>
                </w:r>
              </w:sdtContent>
            </w:sdt>
          </w:p>
          <w:p w14:paraId="6B40DAFF" w14:textId="77777777" w:rsidR="00424A02" w:rsidRDefault="00424A02" w:rsidP="006B7DE2">
            <w:pPr>
              <w:spacing w:line="360" w:lineRule="auto"/>
              <w:contextualSpacing/>
              <w:jc w:val="left"/>
              <w:rPr>
                <w:color w:val="243782" w:themeColor="text2"/>
                <w:sz w:val="22"/>
                <w:szCs w:val="22"/>
              </w:rPr>
            </w:pPr>
          </w:p>
          <w:p w14:paraId="05CF7592" w14:textId="4051EC5C" w:rsidR="00397749" w:rsidRPr="00B21A90" w:rsidRDefault="00397749" w:rsidP="006B7DE2">
            <w:pPr>
              <w:spacing w:line="360" w:lineRule="auto"/>
              <w:contextualSpacing/>
              <w:jc w:val="left"/>
              <w:rPr>
                <w:color w:val="243782" w:themeColor="text2"/>
                <w:sz w:val="24"/>
                <w:szCs w:val="18"/>
              </w:rPr>
            </w:pPr>
            <w:r>
              <w:rPr>
                <w:color w:val="243782" w:themeColor="text2"/>
                <w:sz w:val="24"/>
                <w:szCs w:val="18"/>
              </w:rPr>
              <w:t>communications@stellantis.com</w:t>
            </w:r>
            <w:r>
              <w:rPr>
                <w:color w:val="243782" w:themeColor="text2"/>
                <w:sz w:val="24"/>
                <w:szCs w:val="18"/>
              </w:rPr>
              <w:br/>
              <w:t>www.stellantis.com</w:t>
            </w:r>
            <w:bookmarkEnd w:id="2"/>
          </w:p>
        </w:tc>
      </w:tr>
    </w:tbl>
    <w:p w14:paraId="43516A0C" w14:textId="77777777" w:rsidR="00A33E8D" w:rsidRPr="00B21A90" w:rsidRDefault="00A33E8D" w:rsidP="00424A02">
      <w:pPr>
        <w:jc w:val="left"/>
        <w:rPr>
          <w:sz w:val="18"/>
        </w:rPr>
      </w:pPr>
    </w:p>
    <w:sectPr w:rsidR="00A33E8D" w:rsidRPr="00B21A90" w:rsidSect="0002070C">
      <w:footerReference w:type="default" r:id="rId19"/>
      <w:headerReference w:type="first" r:id="rId20"/>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2B9F" w14:textId="77777777" w:rsidR="008D42C0" w:rsidRDefault="008D42C0" w:rsidP="0002070C">
      <w:r>
        <w:separator/>
      </w:r>
    </w:p>
  </w:endnote>
  <w:endnote w:type="continuationSeparator" w:id="0">
    <w:p w14:paraId="40B4204F" w14:textId="77777777" w:rsidR="008D42C0" w:rsidRDefault="008D42C0" w:rsidP="0002070C">
      <w:r>
        <w:continuationSeparator/>
      </w:r>
    </w:p>
  </w:endnote>
  <w:endnote w:type="continuationNotice" w:id="1">
    <w:p w14:paraId="44CB20E0" w14:textId="77777777" w:rsidR="008D42C0" w:rsidRDefault="008D4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AD4E67C-AD59-45E9-840A-D0774975A4F9}"/>
    <w:embedBold r:id="rId2" w:fontKey="{DA3823C0-6D8B-4CDB-ADB5-5B552477B46D}"/>
    <w:embedItalic r:id="rId3" w:fontKey="{683D3C6E-92B9-417B-8C66-7FE5AF9DB499}"/>
    <w:embedBoldItalic r:id="rId4" w:fontKey="{B6655EDD-F972-4203-89D1-4C14030D9C09}"/>
  </w:font>
  <w:font w:name="Encode Sans ExpandedSemiBold">
    <w:panose1 w:val="00000000000000000000"/>
    <w:charset w:val="00"/>
    <w:family w:val="auto"/>
    <w:pitch w:val="variable"/>
    <w:sig w:usb0="A00000FF" w:usb1="4000207B" w:usb2="00000000" w:usb3="00000000" w:csb0="00000193" w:csb1="00000000"/>
    <w:embedRegular r:id="rId5" w:fontKey="{FC5A95A4-B271-4FE7-B39F-EDA29D5DD376}"/>
    <w:embedItalic r:id="rId6" w:fontKey="{FDA7FA16-5578-45A9-AE18-6A1225EBF245}"/>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EFA" w14:textId="77777777" w:rsidR="00992BE1" w:rsidRPr="00A51B6A" w:rsidRDefault="00992BE1" w:rsidP="0002070C">
    <w:pPr>
      <w:pStyle w:val="SPagination"/>
      <w:rPr>
        <w:szCs w:val="16"/>
      </w:rPr>
    </w:pPr>
    <w: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B21A90">
      <w:rPr>
        <w:rStyle w:val="PageNumber"/>
        <w:szCs w:val="16"/>
      </w:rPr>
      <w:t>4</w:t>
    </w:r>
    <w:r w:rsidRPr="00A51B6A">
      <w:rPr>
        <w:rStyle w:val="PageNumber"/>
        <w:szCs w:val="16"/>
      </w:rPr>
      <w:fldChar w:fldCharType="end"/>
    </w:r>
    <w:r>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571E" w14:textId="77777777" w:rsidR="008D42C0" w:rsidRDefault="008D42C0" w:rsidP="0002070C">
      <w:r>
        <w:separator/>
      </w:r>
    </w:p>
  </w:footnote>
  <w:footnote w:type="continuationSeparator" w:id="0">
    <w:p w14:paraId="6F686D96" w14:textId="77777777" w:rsidR="008D42C0" w:rsidRDefault="008D42C0" w:rsidP="0002070C">
      <w:r>
        <w:continuationSeparator/>
      </w:r>
    </w:p>
  </w:footnote>
  <w:footnote w:type="continuationNotice" w:id="1">
    <w:p w14:paraId="1E97D11B" w14:textId="77777777" w:rsidR="008D42C0" w:rsidRDefault="008D4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FB62" w14:textId="4C5552E9" w:rsidR="005F2120" w:rsidRDefault="00424A02" w:rsidP="0002070C">
    <w:r w:rsidRPr="00A33E8D">
      <w:rPr>
        <w:noProof/>
      </w:rPr>
      <mc:AlternateContent>
        <mc:Choice Requires="wpg">
          <w:drawing>
            <wp:anchor distT="0" distB="0" distL="114300" distR="114300" simplePos="0" relativeHeight="251660288" behindDoc="1" locked="1" layoutInCell="1" allowOverlap="1" wp14:anchorId="63BA2E9C" wp14:editId="789B03B0">
              <wp:simplePos x="0" y="0"/>
              <wp:positionH relativeFrom="page">
                <wp:posOffset>447675</wp:posOffset>
              </wp:positionH>
              <wp:positionV relativeFrom="page">
                <wp:posOffset>-19050</wp:posOffset>
              </wp:positionV>
              <wp:extent cx="300990" cy="2682240"/>
              <wp:effectExtent l="0" t="0" r="3810" b="3810"/>
              <wp:wrapNone/>
              <wp:docPr id="12"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0990" cy="2682240"/>
                        <a:chOff x="0" y="-21512"/>
                        <a:chExt cx="315912" cy="2767887"/>
                      </a:xfrm>
                    </wpg:grpSpPr>
                    <wps:wsp>
                      <wps:cNvPr id="13" name="AutoShape 7"/>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Oval 9"/>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6" name="Oval 10"/>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8" name="Oval 12"/>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9" name="Oval 13"/>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0" name="Freeform 14"/>
                      <wps:cNvSpPr>
                        <a:spLocks/>
                      </wps:cNvSpPr>
                      <wps:spPr bwMode="auto">
                        <a:xfrm>
                          <a:off x="0" y="-21512"/>
                          <a:ext cx="315912" cy="266152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C7C3C2" w14:textId="77777777" w:rsidR="00424A02" w:rsidRPr="00150AD4" w:rsidRDefault="00424A02" w:rsidP="00424A02">
                            <w:pPr>
                              <w:pStyle w:val="SPRESSRELEASESTRIP"/>
                            </w:pPr>
                            <w:r>
                              <w:t xml:space="preserve">COMMUNIQUE DE PRESSE </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3BA2E9C" id="Groupe 29" o:spid="_x0000_s1026" style="position:absolute;left:0;text-align:left;margin-left:35.25pt;margin-top:-1.5pt;width:23.7pt;height:211.2pt;z-index:-251656192;mso-position-horizontal-relative:page;mso-position-vertical-relative:page;mso-width-relative:margin;mso-height-relative:margin" coordorigin=",-215" coordsize="3159,2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TPxAAAANoAAAAPAAAAZHJzL2Rvd25yZXYueG1sRI9Ba8JA&#10;FITvBf/D8gRvddeC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GzK5M/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UA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EVVn/RAeziFwAA//8DAFBLAQItABQABgAIAAAAIQDb4fbL7gAAAIUBAAATAAAAAAAAAAAA&#10;AAAAAAAAAABbQ29udGVudF9UeXBlc10ueG1sUEsBAi0AFAAGAAgAAAAhAFr0LFu/AAAAFQEAAAsA&#10;AAAAAAAAAAAAAAAAHwEAAF9yZWxzLy5yZWxzUEsBAi0AFAAGAAgAAAAhAGJNRQD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" fillcolor="#243782 [3204]" stroked="f"/>
              <v:shape id="Freeform 14" o:spid="_x0000_s1033" style="position:absolute;top:-215;width:3159;height:26615;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38679;0,2638679;0,2638679;23401,2661525;46802,2638679;46802,2638679;50702,2638679;70203,2619641;89703,2638679;89703,2638679;89703,2638679;113104,2661525;136505,2638679;136505,2638679;136505,2638679;159906,2619641;179407,2638679;179407,2638679;179407,2638679;179407,2638679;179407,2638679;202808,2661525;226209,2638679;226209,2638679;226209,2638679;245709,2619641;269110,2638679;269110,2638679;269110,2638679;292511,2661525;315912,2638679;315912,2638679;315912,2638679;315912,0" o:connectangles="0,0,0,0,0,0,0,0,0,0,0,0,0,0,0,0,0,0,0,0,0,0,0,0,0,0,0,0,0,0,0,0,0,0,0,0" textboxrect="0,0,81,699"/>
                <v:textbox style="layout-flow:vertical;mso-layout-flow-alt:bottom-to-top" inset=".7mm,0,1mm,5mm">
                  <w:txbxContent>
                    <w:p w14:paraId="4AC7C3C2" w14:textId="77777777" w:rsidR="00424A02" w:rsidRPr="00150AD4" w:rsidRDefault="00424A02" w:rsidP="00424A02">
                      <w:pPr>
                        <w:pStyle w:val="SPRESSRELEASESTRIP"/>
                      </w:pPr>
                      <w:r>
                        <w:t xml:space="preserve">COMMUNIQUE DE PRESSE </w:t>
                      </w:r>
                    </w:p>
                  </w:txbxContent>
                </v:textbox>
              </v:shape>
              <w10:wrap anchorx="page" anchory="page"/>
              <w10:anchorlock/>
            </v:group>
          </w:pict>
        </mc:Fallback>
      </mc:AlternateContent>
    </w:r>
    <w:r w:rsidR="007F6784">
      <w:rPr>
        <w:noProof/>
        <w:color w:val="2B579A"/>
        <w:shd w:val="clear" w:color="auto" w:fill="E6E6E6"/>
      </w:rPr>
      <w:drawing>
        <wp:inline distT="0" distB="0" distL="0" distR="0" wp14:anchorId="1F04AB1E" wp14:editId="56B3BB8C">
          <wp:extent cx="2207895" cy="5016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t="9727" r="4261" b="20422"/>
                  <a:stretch/>
                </pic:blipFill>
                <pic:spPr bwMode="auto">
                  <a:xfrm>
                    <a:off x="0" y="0"/>
                    <a:ext cx="2211453" cy="502458"/>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7aUWnsXM0Ppd+0" int2:id="cP0hptBD">
      <int2:state int2:value="Rejected" int2:type="AugLoop_Text_Critique"/>
    </int2:textHash>
    <int2:bookmark int2:bookmarkName="_Int_haBgGrEd" int2:invalidationBookmarkName="" int2:hashCode="iWd8rTeW/1kwro" int2:id="qmrDY1uF">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635EFF"/>
    <w:multiLevelType w:val="hybridMultilevel"/>
    <w:tmpl w:val="65B65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8361428">
    <w:abstractNumId w:val="8"/>
  </w:num>
  <w:num w:numId="2" w16cid:durableId="23024534">
    <w:abstractNumId w:val="3"/>
  </w:num>
  <w:num w:numId="3" w16cid:durableId="1146046002">
    <w:abstractNumId w:val="2"/>
  </w:num>
  <w:num w:numId="4" w16cid:durableId="838158709">
    <w:abstractNumId w:val="1"/>
  </w:num>
  <w:num w:numId="5" w16cid:durableId="968248000">
    <w:abstractNumId w:val="0"/>
  </w:num>
  <w:num w:numId="6" w16cid:durableId="56709577">
    <w:abstractNumId w:val="9"/>
  </w:num>
  <w:num w:numId="7" w16cid:durableId="1034036363">
    <w:abstractNumId w:val="7"/>
  </w:num>
  <w:num w:numId="8" w16cid:durableId="889879983">
    <w:abstractNumId w:val="6"/>
  </w:num>
  <w:num w:numId="9" w16cid:durableId="1383141964">
    <w:abstractNumId w:val="5"/>
  </w:num>
  <w:num w:numId="10" w16cid:durableId="1120298139">
    <w:abstractNumId w:val="4"/>
  </w:num>
  <w:num w:numId="11" w16cid:durableId="1255628380">
    <w:abstractNumId w:val="10"/>
  </w:num>
  <w:num w:numId="12" w16cid:durableId="1160073683">
    <w:abstractNumId w:val="11"/>
  </w:num>
  <w:num w:numId="13" w16cid:durableId="822429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59"/>
    <w:rsid w:val="00000BC0"/>
    <w:rsid w:val="00007712"/>
    <w:rsid w:val="00013236"/>
    <w:rsid w:val="000155BC"/>
    <w:rsid w:val="0002070C"/>
    <w:rsid w:val="0002217B"/>
    <w:rsid w:val="00024492"/>
    <w:rsid w:val="00025506"/>
    <w:rsid w:val="000306AC"/>
    <w:rsid w:val="00037FC6"/>
    <w:rsid w:val="000542A8"/>
    <w:rsid w:val="0005714E"/>
    <w:rsid w:val="00085213"/>
    <w:rsid w:val="00087566"/>
    <w:rsid w:val="00087FF0"/>
    <w:rsid w:val="000A2B68"/>
    <w:rsid w:val="000B6FD2"/>
    <w:rsid w:val="000C0DD1"/>
    <w:rsid w:val="000C18FF"/>
    <w:rsid w:val="000C25CC"/>
    <w:rsid w:val="000C3559"/>
    <w:rsid w:val="000C44D3"/>
    <w:rsid w:val="000D0DF0"/>
    <w:rsid w:val="000D198E"/>
    <w:rsid w:val="000D560F"/>
    <w:rsid w:val="000E124C"/>
    <w:rsid w:val="000E3040"/>
    <w:rsid w:val="000E6625"/>
    <w:rsid w:val="000F52A7"/>
    <w:rsid w:val="000F6B54"/>
    <w:rsid w:val="001131D0"/>
    <w:rsid w:val="00113508"/>
    <w:rsid w:val="001159FA"/>
    <w:rsid w:val="00126E08"/>
    <w:rsid w:val="001427A9"/>
    <w:rsid w:val="00144C6D"/>
    <w:rsid w:val="001574D1"/>
    <w:rsid w:val="00161A3A"/>
    <w:rsid w:val="00180E8D"/>
    <w:rsid w:val="00181DA6"/>
    <w:rsid w:val="00184D5E"/>
    <w:rsid w:val="00185E89"/>
    <w:rsid w:val="001866D6"/>
    <w:rsid w:val="00190445"/>
    <w:rsid w:val="001945E5"/>
    <w:rsid w:val="001A614C"/>
    <w:rsid w:val="001A6259"/>
    <w:rsid w:val="001B31D0"/>
    <w:rsid w:val="001B4263"/>
    <w:rsid w:val="001B591C"/>
    <w:rsid w:val="001C0AA0"/>
    <w:rsid w:val="001C2F2F"/>
    <w:rsid w:val="001C5B66"/>
    <w:rsid w:val="001E1E19"/>
    <w:rsid w:val="001E3A5D"/>
    <w:rsid w:val="001E7847"/>
    <w:rsid w:val="00203162"/>
    <w:rsid w:val="00211BCA"/>
    <w:rsid w:val="00215696"/>
    <w:rsid w:val="0021794A"/>
    <w:rsid w:val="00220B6B"/>
    <w:rsid w:val="00232840"/>
    <w:rsid w:val="0024580C"/>
    <w:rsid w:val="00281322"/>
    <w:rsid w:val="0028199D"/>
    <w:rsid w:val="002836DD"/>
    <w:rsid w:val="00293E0C"/>
    <w:rsid w:val="0029697C"/>
    <w:rsid w:val="00297094"/>
    <w:rsid w:val="002B36B6"/>
    <w:rsid w:val="002B5AE1"/>
    <w:rsid w:val="002C306B"/>
    <w:rsid w:val="002C393A"/>
    <w:rsid w:val="002C508D"/>
    <w:rsid w:val="002C771A"/>
    <w:rsid w:val="002D7E0E"/>
    <w:rsid w:val="002F18EC"/>
    <w:rsid w:val="00300252"/>
    <w:rsid w:val="003052FE"/>
    <w:rsid w:val="003069F3"/>
    <w:rsid w:val="0031217D"/>
    <w:rsid w:val="00322328"/>
    <w:rsid w:val="00325401"/>
    <w:rsid w:val="00336CFC"/>
    <w:rsid w:val="0036017D"/>
    <w:rsid w:val="00367AAD"/>
    <w:rsid w:val="00381A4A"/>
    <w:rsid w:val="003864AD"/>
    <w:rsid w:val="00397749"/>
    <w:rsid w:val="003A6735"/>
    <w:rsid w:val="003C0B34"/>
    <w:rsid w:val="003D14C9"/>
    <w:rsid w:val="003D2DD4"/>
    <w:rsid w:val="003E2C46"/>
    <w:rsid w:val="003E394F"/>
    <w:rsid w:val="003E43D4"/>
    <w:rsid w:val="003E68CC"/>
    <w:rsid w:val="003F1B03"/>
    <w:rsid w:val="003F3C9F"/>
    <w:rsid w:val="003F51E7"/>
    <w:rsid w:val="00400B91"/>
    <w:rsid w:val="004022B4"/>
    <w:rsid w:val="00404EF5"/>
    <w:rsid w:val="004063A7"/>
    <w:rsid w:val="00411411"/>
    <w:rsid w:val="00424A02"/>
    <w:rsid w:val="00425677"/>
    <w:rsid w:val="00433EDD"/>
    <w:rsid w:val="004345F9"/>
    <w:rsid w:val="0044089C"/>
    <w:rsid w:val="004409C6"/>
    <w:rsid w:val="0044219E"/>
    <w:rsid w:val="0045103B"/>
    <w:rsid w:val="0045216F"/>
    <w:rsid w:val="00471885"/>
    <w:rsid w:val="00474516"/>
    <w:rsid w:val="00493391"/>
    <w:rsid w:val="004A2B09"/>
    <w:rsid w:val="004B334B"/>
    <w:rsid w:val="004B5BE7"/>
    <w:rsid w:val="004C4FCC"/>
    <w:rsid w:val="004D61EA"/>
    <w:rsid w:val="004F2875"/>
    <w:rsid w:val="004F7AB9"/>
    <w:rsid w:val="005016D9"/>
    <w:rsid w:val="00501F6A"/>
    <w:rsid w:val="0051192C"/>
    <w:rsid w:val="00514583"/>
    <w:rsid w:val="00515C12"/>
    <w:rsid w:val="00524B39"/>
    <w:rsid w:val="00524D60"/>
    <w:rsid w:val="00524DC6"/>
    <w:rsid w:val="00534942"/>
    <w:rsid w:val="00537DB3"/>
    <w:rsid w:val="00544345"/>
    <w:rsid w:val="005560AC"/>
    <w:rsid w:val="0056007C"/>
    <w:rsid w:val="00561AB3"/>
    <w:rsid w:val="005708BD"/>
    <w:rsid w:val="00582B69"/>
    <w:rsid w:val="00597318"/>
    <w:rsid w:val="005A202A"/>
    <w:rsid w:val="005A7517"/>
    <w:rsid w:val="005B743B"/>
    <w:rsid w:val="005C1F23"/>
    <w:rsid w:val="005C5158"/>
    <w:rsid w:val="005C775F"/>
    <w:rsid w:val="005D1BBE"/>
    <w:rsid w:val="005E11BF"/>
    <w:rsid w:val="005F2120"/>
    <w:rsid w:val="005F4060"/>
    <w:rsid w:val="00600A0B"/>
    <w:rsid w:val="00601629"/>
    <w:rsid w:val="00604B85"/>
    <w:rsid w:val="006074EF"/>
    <w:rsid w:val="00613FB1"/>
    <w:rsid w:val="00615010"/>
    <w:rsid w:val="0061682B"/>
    <w:rsid w:val="00620315"/>
    <w:rsid w:val="0062579C"/>
    <w:rsid w:val="006262F9"/>
    <w:rsid w:val="006279C9"/>
    <w:rsid w:val="006338ED"/>
    <w:rsid w:val="00640E8F"/>
    <w:rsid w:val="00646166"/>
    <w:rsid w:val="00655A10"/>
    <w:rsid w:val="00662234"/>
    <w:rsid w:val="00662B60"/>
    <w:rsid w:val="00667BEB"/>
    <w:rsid w:val="00674362"/>
    <w:rsid w:val="00674659"/>
    <w:rsid w:val="00675B12"/>
    <w:rsid w:val="00682310"/>
    <w:rsid w:val="00683765"/>
    <w:rsid w:val="00683B2B"/>
    <w:rsid w:val="0069388F"/>
    <w:rsid w:val="006B0549"/>
    <w:rsid w:val="006B2684"/>
    <w:rsid w:val="006B586D"/>
    <w:rsid w:val="006B5C7E"/>
    <w:rsid w:val="006B7DE2"/>
    <w:rsid w:val="006D22A7"/>
    <w:rsid w:val="006D2BC5"/>
    <w:rsid w:val="006E27BF"/>
    <w:rsid w:val="006F3D5A"/>
    <w:rsid w:val="006F485F"/>
    <w:rsid w:val="007025F2"/>
    <w:rsid w:val="00703BF7"/>
    <w:rsid w:val="00705A17"/>
    <w:rsid w:val="00715647"/>
    <w:rsid w:val="00716893"/>
    <w:rsid w:val="007309CC"/>
    <w:rsid w:val="00730F85"/>
    <w:rsid w:val="00736170"/>
    <w:rsid w:val="007620C5"/>
    <w:rsid w:val="00775E44"/>
    <w:rsid w:val="00776357"/>
    <w:rsid w:val="007A4340"/>
    <w:rsid w:val="007A46E2"/>
    <w:rsid w:val="007B4416"/>
    <w:rsid w:val="007C0A75"/>
    <w:rsid w:val="007C1856"/>
    <w:rsid w:val="007C51C5"/>
    <w:rsid w:val="007C54FA"/>
    <w:rsid w:val="007D328A"/>
    <w:rsid w:val="007E12FB"/>
    <w:rsid w:val="007E317D"/>
    <w:rsid w:val="007E49CE"/>
    <w:rsid w:val="007F04FF"/>
    <w:rsid w:val="007F149C"/>
    <w:rsid w:val="007F2AFB"/>
    <w:rsid w:val="007F66FF"/>
    <w:rsid w:val="007F6784"/>
    <w:rsid w:val="0080313B"/>
    <w:rsid w:val="00805FAA"/>
    <w:rsid w:val="00811E4E"/>
    <w:rsid w:val="008124BD"/>
    <w:rsid w:val="00815B14"/>
    <w:rsid w:val="00823499"/>
    <w:rsid w:val="00826BAC"/>
    <w:rsid w:val="0082786D"/>
    <w:rsid w:val="0083141B"/>
    <w:rsid w:val="00831E48"/>
    <w:rsid w:val="00837340"/>
    <w:rsid w:val="00844956"/>
    <w:rsid w:val="0085017B"/>
    <w:rsid w:val="00851105"/>
    <w:rsid w:val="008532CC"/>
    <w:rsid w:val="0085397B"/>
    <w:rsid w:val="008548DF"/>
    <w:rsid w:val="00855A0B"/>
    <w:rsid w:val="0086416D"/>
    <w:rsid w:val="008666D9"/>
    <w:rsid w:val="00872AE4"/>
    <w:rsid w:val="0087500B"/>
    <w:rsid w:val="00877117"/>
    <w:rsid w:val="00885B22"/>
    <w:rsid w:val="00895C0D"/>
    <w:rsid w:val="00896210"/>
    <w:rsid w:val="008B02AC"/>
    <w:rsid w:val="008B0D4F"/>
    <w:rsid w:val="008B4488"/>
    <w:rsid w:val="008B4CD5"/>
    <w:rsid w:val="008B66E6"/>
    <w:rsid w:val="008B68BB"/>
    <w:rsid w:val="008D19A5"/>
    <w:rsid w:val="008D42C0"/>
    <w:rsid w:val="008D6D19"/>
    <w:rsid w:val="008D7A43"/>
    <w:rsid w:val="008F0F07"/>
    <w:rsid w:val="008F2A13"/>
    <w:rsid w:val="008F3682"/>
    <w:rsid w:val="008F69CC"/>
    <w:rsid w:val="008F6CD9"/>
    <w:rsid w:val="00900F1D"/>
    <w:rsid w:val="00904108"/>
    <w:rsid w:val="0090799A"/>
    <w:rsid w:val="00915403"/>
    <w:rsid w:val="00926AC6"/>
    <w:rsid w:val="00945392"/>
    <w:rsid w:val="0095118C"/>
    <w:rsid w:val="009512C9"/>
    <w:rsid w:val="009551BF"/>
    <w:rsid w:val="00964EE0"/>
    <w:rsid w:val="00970CFC"/>
    <w:rsid w:val="00971F02"/>
    <w:rsid w:val="00975ED0"/>
    <w:rsid w:val="00986317"/>
    <w:rsid w:val="00992BE1"/>
    <w:rsid w:val="00993D08"/>
    <w:rsid w:val="009968C5"/>
    <w:rsid w:val="009A23AB"/>
    <w:rsid w:val="009A283C"/>
    <w:rsid w:val="009A6208"/>
    <w:rsid w:val="009B0222"/>
    <w:rsid w:val="009B2160"/>
    <w:rsid w:val="009B3266"/>
    <w:rsid w:val="009C3063"/>
    <w:rsid w:val="009C40E1"/>
    <w:rsid w:val="009C559D"/>
    <w:rsid w:val="009D180E"/>
    <w:rsid w:val="009D2071"/>
    <w:rsid w:val="009D64A7"/>
    <w:rsid w:val="009E35FA"/>
    <w:rsid w:val="009E4484"/>
    <w:rsid w:val="009F2D88"/>
    <w:rsid w:val="00A03298"/>
    <w:rsid w:val="00A14F62"/>
    <w:rsid w:val="00A2745A"/>
    <w:rsid w:val="00A33E8D"/>
    <w:rsid w:val="00A36A20"/>
    <w:rsid w:val="00A44A85"/>
    <w:rsid w:val="00A51B6A"/>
    <w:rsid w:val="00A54935"/>
    <w:rsid w:val="00A61F66"/>
    <w:rsid w:val="00A64A65"/>
    <w:rsid w:val="00A664E6"/>
    <w:rsid w:val="00A71966"/>
    <w:rsid w:val="00A75948"/>
    <w:rsid w:val="00A777D3"/>
    <w:rsid w:val="00A87390"/>
    <w:rsid w:val="00A97EC4"/>
    <w:rsid w:val="00AB4BA6"/>
    <w:rsid w:val="00AB5197"/>
    <w:rsid w:val="00AB6883"/>
    <w:rsid w:val="00AC3590"/>
    <w:rsid w:val="00AD7AA5"/>
    <w:rsid w:val="00AE0E14"/>
    <w:rsid w:val="00AE6B97"/>
    <w:rsid w:val="00AE6D07"/>
    <w:rsid w:val="00AE79C7"/>
    <w:rsid w:val="00AF3A81"/>
    <w:rsid w:val="00AF4CE0"/>
    <w:rsid w:val="00B02391"/>
    <w:rsid w:val="00B21A90"/>
    <w:rsid w:val="00B32F4C"/>
    <w:rsid w:val="00B46DDA"/>
    <w:rsid w:val="00B52975"/>
    <w:rsid w:val="00B61B0A"/>
    <w:rsid w:val="00B64F18"/>
    <w:rsid w:val="00B82313"/>
    <w:rsid w:val="00B92FB1"/>
    <w:rsid w:val="00B9485A"/>
    <w:rsid w:val="00B95DA5"/>
    <w:rsid w:val="00B97FC6"/>
    <w:rsid w:val="00BB1709"/>
    <w:rsid w:val="00BC1D86"/>
    <w:rsid w:val="00BC5305"/>
    <w:rsid w:val="00BD2ADB"/>
    <w:rsid w:val="00BD5F60"/>
    <w:rsid w:val="00BE11B8"/>
    <w:rsid w:val="00BE2AAD"/>
    <w:rsid w:val="00BE6DB5"/>
    <w:rsid w:val="00BF1E1C"/>
    <w:rsid w:val="00C10E75"/>
    <w:rsid w:val="00C10EF7"/>
    <w:rsid w:val="00C12BFE"/>
    <w:rsid w:val="00C15DA3"/>
    <w:rsid w:val="00C21785"/>
    <w:rsid w:val="00C21B90"/>
    <w:rsid w:val="00C22A77"/>
    <w:rsid w:val="00C31F14"/>
    <w:rsid w:val="00C3236A"/>
    <w:rsid w:val="00C372A6"/>
    <w:rsid w:val="00C44322"/>
    <w:rsid w:val="00C47501"/>
    <w:rsid w:val="00C508B7"/>
    <w:rsid w:val="00C51E52"/>
    <w:rsid w:val="00C553C0"/>
    <w:rsid w:val="00C60A64"/>
    <w:rsid w:val="00C614E3"/>
    <w:rsid w:val="00C63CC0"/>
    <w:rsid w:val="00C84BBB"/>
    <w:rsid w:val="00C872BF"/>
    <w:rsid w:val="00C97498"/>
    <w:rsid w:val="00CA3356"/>
    <w:rsid w:val="00CB745B"/>
    <w:rsid w:val="00CC25F3"/>
    <w:rsid w:val="00CC3B15"/>
    <w:rsid w:val="00CD0056"/>
    <w:rsid w:val="00CD4D82"/>
    <w:rsid w:val="00CD53D9"/>
    <w:rsid w:val="00CF2E3A"/>
    <w:rsid w:val="00CF38A3"/>
    <w:rsid w:val="00CF51C3"/>
    <w:rsid w:val="00D00BDF"/>
    <w:rsid w:val="00D10E34"/>
    <w:rsid w:val="00D22355"/>
    <w:rsid w:val="00D24B3A"/>
    <w:rsid w:val="00D265D9"/>
    <w:rsid w:val="00D35611"/>
    <w:rsid w:val="00D36301"/>
    <w:rsid w:val="00D37A26"/>
    <w:rsid w:val="00D42C66"/>
    <w:rsid w:val="00D45416"/>
    <w:rsid w:val="00D5456A"/>
    <w:rsid w:val="00D54C2A"/>
    <w:rsid w:val="00D57C97"/>
    <w:rsid w:val="00D77071"/>
    <w:rsid w:val="00D84107"/>
    <w:rsid w:val="00D92E85"/>
    <w:rsid w:val="00D93327"/>
    <w:rsid w:val="00DA27E1"/>
    <w:rsid w:val="00DA7B06"/>
    <w:rsid w:val="00DD1D97"/>
    <w:rsid w:val="00DD4AD0"/>
    <w:rsid w:val="00DE5D71"/>
    <w:rsid w:val="00DE61D7"/>
    <w:rsid w:val="00DE72B9"/>
    <w:rsid w:val="00DF4282"/>
    <w:rsid w:val="00DF6BDB"/>
    <w:rsid w:val="00E21673"/>
    <w:rsid w:val="00E22C22"/>
    <w:rsid w:val="00E23B0D"/>
    <w:rsid w:val="00E40FE8"/>
    <w:rsid w:val="00E47347"/>
    <w:rsid w:val="00E525A3"/>
    <w:rsid w:val="00E613A1"/>
    <w:rsid w:val="00E633F7"/>
    <w:rsid w:val="00E74010"/>
    <w:rsid w:val="00E8248B"/>
    <w:rsid w:val="00E86F4D"/>
    <w:rsid w:val="00E91808"/>
    <w:rsid w:val="00EA426B"/>
    <w:rsid w:val="00EA573C"/>
    <w:rsid w:val="00ED5891"/>
    <w:rsid w:val="00EE1EDD"/>
    <w:rsid w:val="00EE5030"/>
    <w:rsid w:val="00EF38F1"/>
    <w:rsid w:val="00F04509"/>
    <w:rsid w:val="00F0737D"/>
    <w:rsid w:val="00F15A3A"/>
    <w:rsid w:val="00F20B8F"/>
    <w:rsid w:val="00F322E8"/>
    <w:rsid w:val="00F502ED"/>
    <w:rsid w:val="00F5284E"/>
    <w:rsid w:val="00F72B53"/>
    <w:rsid w:val="00F74B70"/>
    <w:rsid w:val="00F76983"/>
    <w:rsid w:val="00F87B27"/>
    <w:rsid w:val="00F93908"/>
    <w:rsid w:val="00FA720F"/>
    <w:rsid w:val="00FB0781"/>
    <w:rsid w:val="00FB2C4C"/>
    <w:rsid w:val="00FB2F42"/>
    <w:rsid w:val="00FB391C"/>
    <w:rsid w:val="00FB4171"/>
    <w:rsid w:val="00FC0D95"/>
    <w:rsid w:val="00FD087F"/>
    <w:rsid w:val="00FD2202"/>
    <w:rsid w:val="00FD2FB5"/>
    <w:rsid w:val="00FD6CFC"/>
    <w:rsid w:val="02AC1772"/>
    <w:rsid w:val="02AE364C"/>
    <w:rsid w:val="02C55B5F"/>
    <w:rsid w:val="032192C1"/>
    <w:rsid w:val="03C2FBA7"/>
    <w:rsid w:val="03E97F5C"/>
    <w:rsid w:val="0593E8E6"/>
    <w:rsid w:val="0627617E"/>
    <w:rsid w:val="07CD20F7"/>
    <w:rsid w:val="08B708A6"/>
    <w:rsid w:val="0A38D5D7"/>
    <w:rsid w:val="0A870B3F"/>
    <w:rsid w:val="0BF48A33"/>
    <w:rsid w:val="0F988F6E"/>
    <w:rsid w:val="10325F2C"/>
    <w:rsid w:val="1041CF55"/>
    <w:rsid w:val="10A5151C"/>
    <w:rsid w:val="147A143A"/>
    <w:rsid w:val="14A4AA3F"/>
    <w:rsid w:val="16AA9750"/>
    <w:rsid w:val="1885079C"/>
    <w:rsid w:val="18E1EFA9"/>
    <w:rsid w:val="190C1B3E"/>
    <w:rsid w:val="1972DDE8"/>
    <w:rsid w:val="1C356863"/>
    <w:rsid w:val="1C4CD77B"/>
    <w:rsid w:val="1D5BDAD1"/>
    <w:rsid w:val="1E3ABA2E"/>
    <w:rsid w:val="1E58A40F"/>
    <w:rsid w:val="1EA2527A"/>
    <w:rsid w:val="2075AA7F"/>
    <w:rsid w:val="208E0893"/>
    <w:rsid w:val="22ABBC5C"/>
    <w:rsid w:val="23E50692"/>
    <w:rsid w:val="246B6571"/>
    <w:rsid w:val="24E84CF1"/>
    <w:rsid w:val="2560BAEA"/>
    <w:rsid w:val="25A95382"/>
    <w:rsid w:val="28C7CBE7"/>
    <w:rsid w:val="2954995F"/>
    <w:rsid w:val="29797785"/>
    <w:rsid w:val="2A301354"/>
    <w:rsid w:val="2AA60C5C"/>
    <w:rsid w:val="2B1612E8"/>
    <w:rsid w:val="2D34620F"/>
    <w:rsid w:val="2D9B3D0A"/>
    <w:rsid w:val="2E2BC928"/>
    <w:rsid w:val="30ACCD8D"/>
    <w:rsid w:val="32DACB64"/>
    <w:rsid w:val="32F2D47B"/>
    <w:rsid w:val="3421B325"/>
    <w:rsid w:val="34E0EF08"/>
    <w:rsid w:val="35B0AA81"/>
    <w:rsid w:val="365B0EA0"/>
    <w:rsid w:val="372FB3FB"/>
    <w:rsid w:val="37D1047F"/>
    <w:rsid w:val="3805D00E"/>
    <w:rsid w:val="382B5BD7"/>
    <w:rsid w:val="3B7E36FF"/>
    <w:rsid w:val="3C6C76C4"/>
    <w:rsid w:val="3CAF69D3"/>
    <w:rsid w:val="3CD443F2"/>
    <w:rsid w:val="3F551EBB"/>
    <w:rsid w:val="400F246F"/>
    <w:rsid w:val="409EFDB6"/>
    <w:rsid w:val="42FE609D"/>
    <w:rsid w:val="43613377"/>
    <w:rsid w:val="4629F1B1"/>
    <w:rsid w:val="46924BFE"/>
    <w:rsid w:val="46C1F338"/>
    <w:rsid w:val="46DB0336"/>
    <w:rsid w:val="475671C3"/>
    <w:rsid w:val="47B33B38"/>
    <w:rsid w:val="487F3D2A"/>
    <w:rsid w:val="493F3263"/>
    <w:rsid w:val="4B0EC9EC"/>
    <w:rsid w:val="4C1A7966"/>
    <w:rsid w:val="4C3833D3"/>
    <w:rsid w:val="4D288C9D"/>
    <w:rsid w:val="4D8EEC76"/>
    <w:rsid w:val="4E2824D1"/>
    <w:rsid w:val="4EE53060"/>
    <w:rsid w:val="4EFE2FB0"/>
    <w:rsid w:val="50980A3D"/>
    <w:rsid w:val="50F419FD"/>
    <w:rsid w:val="51C8487A"/>
    <w:rsid w:val="53FAD5EB"/>
    <w:rsid w:val="55808972"/>
    <w:rsid w:val="55C82957"/>
    <w:rsid w:val="5610A430"/>
    <w:rsid w:val="563558BB"/>
    <w:rsid w:val="575D2C0D"/>
    <w:rsid w:val="57E7F399"/>
    <w:rsid w:val="595BCD23"/>
    <w:rsid w:val="599CC734"/>
    <w:rsid w:val="5C4227EB"/>
    <w:rsid w:val="5D0069C1"/>
    <w:rsid w:val="5D0E2858"/>
    <w:rsid w:val="5D42E6CE"/>
    <w:rsid w:val="5EB059F4"/>
    <w:rsid w:val="600BD5E7"/>
    <w:rsid w:val="605B5379"/>
    <w:rsid w:val="60BDC919"/>
    <w:rsid w:val="60C5D0C1"/>
    <w:rsid w:val="60CDB85A"/>
    <w:rsid w:val="615A834A"/>
    <w:rsid w:val="61EE6DB3"/>
    <w:rsid w:val="62B0D7DD"/>
    <w:rsid w:val="6376FFF0"/>
    <w:rsid w:val="6393A1A7"/>
    <w:rsid w:val="658E4EE4"/>
    <w:rsid w:val="672DCCA9"/>
    <w:rsid w:val="6768E611"/>
    <w:rsid w:val="67BB2660"/>
    <w:rsid w:val="68097B3E"/>
    <w:rsid w:val="684DEA6D"/>
    <w:rsid w:val="68606501"/>
    <w:rsid w:val="6862AB7D"/>
    <w:rsid w:val="68C2F149"/>
    <w:rsid w:val="6AF68992"/>
    <w:rsid w:val="6D215B90"/>
    <w:rsid w:val="6E057233"/>
    <w:rsid w:val="6FA207C2"/>
    <w:rsid w:val="713DD823"/>
    <w:rsid w:val="7406A00F"/>
    <w:rsid w:val="746B279F"/>
    <w:rsid w:val="756D56F7"/>
    <w:rsid w:val="76216520"/>
    <w:rsid w:val="77FAF940"/>
    <w:rsid w:val="7A3EFCB0"/>
    <w:rsid w:val="7D6BDB1B"/>
    <w:rsid w:val="7E49CC16"/>
    <w:rsid w:val="7FD211A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10A8E"/>
  <w15:docId w15:val="{D6396490-427D-4476-A471-EE31C98F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4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Mentionnonrsolue1">
    <w:name w:val="Mention non résolue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fr-FR"/>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Normal"/>
    <w:next w:val="TableGrid"/>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4D60"/>
  </w:style>
  <w:style w:type="character" w:customStyle="1" w:styleId="Mentionnonrsolue2">
    <w:name w:val="Mention non résolue2"/>
    <w:basedOn w:val="DefaultParagraphFont"/>
    <w:uiPriority w:val="99"/>
    <w:semiHidden/>
    <w:unhideWhenUsed/>
    <w:rsid w:val="00601629"/>
    <w:rPr>
      <w:color w:val="605E5C"/>
      <w:shd w:val="clear" w:color="auto" w:fill="E1DFDD"/>
    </w:rPr>
  </w:style>
  <w:style w:type="paragraph" w:styleId="CommentText">
    <w:name w:val="annotation text"/>
    <w:basedOn w:val="Normal"/>
    <w:link w:val="CommentTextChar"/>
    <w:uiPriority w:val="99"/>
    <w:semiHidden/>
    <w:rsid w:val="00831E48"/>
    <w:rPr>
      <w:sz w:val="20"/>
      <w:szCs w:val="20"/>
    </w:rPr>
  </w:style>
  <w:style w:type="character" w:customStyle="1" w:styleId="CommentTextChar">
    <w:name w:val="Comment Text Char"/>
    <w:basedOn w:val="DefaultParagraphFont"/>
    <w:link w:val="CommentText"/>
    <w:uiPriority w:val="99"/>
    <w:semiHidden/>
    <w:rsid w:val="00831E48"/>
    <w:rPr>
      <w:sz w:val="20"/>
      <w:szCs w:val="20"/>
    </w:rPr>
  </w:style>
  <w:style w:type="character" w:styleId="CommentReference">
    <w:name w:val="annotation reference"/>
    <w:basedOn w:val="DefaultParagraphFont"/>
    <w:uiPriority w:val="99"/>
    <w:semiHidden/>
    <w:rsid w:val="00831E48"/>
    <w:rPr>
      <w:sz w:val="16"/>
      <w:szCs w:val="16"/>
    </w:rPr>
  </w:style>
  <w:style w:type="character" w:customStyle="1" w:styleId="Mention1">
    <w:name w:val="Mention1"/>
    <w:basedOn w:val="DefaultParagraphFont"/>
    <w:uiPriority w:val="99"/>
    <w:unhideWhenUsed/>
    <w:rsid w:val="00831E48"/>
    <w:rPr>
      <w:color w:val="2B579A"/>
      <w:shd w:val="clear" w:color="auto" w:fill="E6E6E6"/>
    </w:rPr>
  </w:style>
  <w:style w:type="paragraph" w:styleId="BalloonText">
    <w:name w:val="Balloon Text"/>
    <w:basedOn w:val="Normal"/>
    <w:link w:val="BalloonTextChar"/>
    <w:uiPriority w:val="99"/>
    <w:semiHidden/>
    <w:unhideWhenUsed/>
    <w:rsid w:val="00B21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90"/>
    <w:rPr>
      <w:rFonts w:ascii="Segoe UI" w:hAnsi="Segoe UI" w:cs="Segoe UI"/>
      <w:sz w:val="18"/>
      <w:szCs w:val="18"/>
    </w:rPr>
  </w:style>
  <w:style w:type="paragraph" w:customStyle="1" w:styleId="SPRESSRELEASESTRIP">
    <w:name w:val="S_PRESS RELEASE STRIP"/>
    <w:basedOn w:val="Normal"/>
    <w:qFormat/>
    <w:rsid w:val="00424A02"/>
    <w:pPr>
      <w:spacing w:after="240"/>
    </w:pPr>
    <w:rPr>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6724">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youtube.com/c/Stellantis_offici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witter.com/Stellantis"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www.linkedin.com/company/stellant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tellantis"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jj_CP_Stellantis_Communiqu&#233;_de_Presse_A4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60355552A44AA9415A0192F930735"/>
        <w:category>
          <w:name w:val="Général"/>
          <w:gallery w:val="placeholder"/>
        </w:category>
        <w:types>
          <w:type w:val="bbPlcHdr"/>
        </w:types>
        <w:behaviors>
          <w:behavior w:val="content"/>
        </w:behaviors>
        <w:guid w:val="{626233B7-7DCA-4EB5-AE06-C26B7E327DAD}"/>
      </w:docPartPr>
      <w:docPartBody>
        <w:p w:rsidR="007C51C5" w:rsidRDefault="007C51C5">
          <w:pPr>
            <w:pStyle w:val="C1560355552A44AA9415A0192F930735"/>
          </w:pPr>
          <w:r w:rsidRPr="0086416D">
            <w:rPr>
              <w:rStyle w:val="PlaceholderText"/>
              <w:color w:val="44546A" w:themeColor="text2"/>
            </w:rPr>
            <w:t>Press release subject</w:t>
          </w:r>
        </w:p>
      </w:docPartBody>
    </w:docPart>
    <w:docPart>
      <w:docPartPr>
        <w:name w:val="B8451630A621437AB1EC0528DFA4BCBB"/>
        <w:category>
          <w:name w:val="General"/>
          <w:gallery w:val="placeholder"/>
        </w:category>
        <w:types>
          <w:type w:val="bbPlcHdr"/>
        </w:types>
        <w:behaviors>
          <w:behavior w:val="content"/>
        </w:behaviors>
        <w:guid w:val="{070A571A-0632-411D-98C3-785C8C097F07}"/>
      </w:docPartPr>
      <w:docPartBody>
        <w:p w:rsidR="00385E6F" w:rsidRDefault="007309CC" w:rsidP="007309CC">
          <w:pPr>
            <w:pStyle w:val="B8451630A621437AB1EC0528DFA4BCBB"/>
          </w:pPr>
          <w:r w:rsidRPr="0086416D">
            <w:rPr>
              <w:rStyle w:val="PlaceholderText"/>
              <w:b/>
              <w:color w:val="44546A" w:themeColor="text2"/>
            </w:rPr>
            <w:t>First name LAST NAME</w:t>
          </w:r>
        </w:p>
      </w:docPartBody>
    </w:docPart>
    <w:docPart>
      <w:docPartPr>
        <w:name w:val="CD5ACE22D2C3469DB1BA7E519F159C60"/>
        <w:category>
          <w:name w:val="General"/>
          <w:gallery w:val="placeholder"/>
        </w:category>
        <w:types>
          <w:type w:val="bbPlcHdr"/>
        </w:types>
        <w:behaviors>
          <w:behavior w:val="content"/>
        </w:behaviors>
        <w:guid w:val="{8D761CCC-1A1B-4CE5-AC19-9323BF769DDC}"/>
      </w:docPartPr>
      <w:docPartBody>
        <w:p w:rsidR="00385E6F" w:rsidRDefault="007309CC" w:rsidP="007309CC">
          <w:pPr>
            <w:pStyle w:val="CD5ACE22D2C3469DB1BA7E519F159C6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AB2620B6D4048D9A6D50824998AAAE9"/>
        <w:category>
          <w:name w:val="General"/>
          <w:gallery w:val="placeholder"/>
        </w:category>
        <w:types>
          <w:type w:val="bbPlcHdr"/>
        </w:types>
        <w:behaviors>
          <w:behavior w:val="content"/>
        </w:behaviors>
        <w:guid w:val="{D47BF682-7E66-4123-BAFC-5731FD092499}"/>
      </w:docPartPr>
      <w:docPartBody>
        <w:p w:rsidR="00385E6F" w:rsidRDefault="007309CC" w:rsidP="007309CC">
          <w:pPr>
            <w:pStyle w:val="DAB2620B6D4048D9A6D50824998AAAE9"/>
          </w:pPr>
          <w:r w:rsidRPr="0086416D">
            <w:rPr>
              <w:rStyle w:val="PlaceholderText"/>
              <w:b/>
              <w:color w:val="44546A" w:themeColor="text2"/>
            </w:rPr>
            <w:t>First name LAST NAME</w:t>
          </w:r>
        </w:p>
      </w:docPartBody>
    </w:docPart>
    <w:docPart>
      <w:docPartPr>
        <w:name w:val="4144E405B2194AEE8394C099E1CBDFE0"/>
        <w:category>
          <w:name w:val="General"/>
          <w:gallery w:val="placeholder"/>
        </w:category>
        <w:types>
          <w:type w:val="bbPlcHdr"/>
        </w:types>
        <w:behaviors>
          <w:behavior w:val="content"/>
        </w:behaviors>
        <w:guid w:val="{BB392A50-6C8B-4F5A-A708-4EEF14E04AB1}"/>
      </w:docPartPr>
      <w:docPartBody>
        <w:p w:rsidR="00385E6F" w:rsidRDefault="007309CC" w:rsidP="007309CC">
          <w:pPr>
            <w:pStyle w:val="4144E405B2194AEE8394C099E1CBDFE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C5"/>
    <w:rsid w:val="00373F53"/>
    <w:rsid w:val="003745B9"/>
    <w:rsid w:val="00385E6F"/>
    <w:rsid w:val="00405BF8"/>
    <w:rsid w:val="0046747D"/>
    <w:rsid w:val="005C1FA3"/>
    <w:rsid w:val="007135BE"/>
    <w:rsid w:val="007309CC"/>
    <w:rsid w:val="00745464"/>
    <w:rsid w:val="007C51C5"/>
    <w:rsid w:val="00926FBD"/>
    <w:rsid w:val="009D2BC0"/>
    <w:rsid w:val="00B24827"/>
    <w:rsid w:val="00BE0569"/>
    <w:rsid w:val="00C5739B"/>
    <w:rsid w:val="00D00D5E"/>
    <w:rsid w:val="00D615A4"/>
    <w:rsid w:val="00D769D9"/>
    <w:rsid w:val="00E36C69"/>
    <w:rsid w:val="00E67815"/>
    <w:rsid w:val="00F63F6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9CC"/>
    <w:rPr>
      <w:color w:val="808080"/>
    </w:rPr>
  </w:style>
  <w:style w:type="paragraph" w:customStyle="1" w:styleId="C1560355552A44AA9415A0192F930735">
    <w:name w:val="C1560355552A44AA9415A0192F930735"/>
  </w:style>
  <w:style w:type="paragraph" w:customStyle="1" w:styleId="B8451630A621437AB1EC0528DFA4BCBB">
    <w:name w:val="B8451630A621437AB1EC0528DFA4BCBB"/>
    <w:rsid w:val="007309CC"/>
    <w:rPr>
      <w:lang w:val="en-US" w:eastAsia="en-US"/>
    </w:rPr>
  </w:style>
  <w:style w:type="paragraph" w:customStyle="1" w:styleId="CD5ACE22D2C3469DB1BA7E519F159C60">
    <w:name w:val="CD5ACE22D2C3469DB1BA7E519F159C60"/>
    <w:rsid w:val="007309CC"/>
    <w:rPr>
      <w:lang w:val="en-US" w:eastAsia="en-US"/>
    </w:rPr>
  </w:style>
  <w:style w:type="paragraph" w:customStyle="1" w:styleId="DAB2620B6D4048D9A6D50824998AAAE9">
    <w:name w:val="DAB2620B6D4048D9A6D50824998AAAE9"/>
    <w:rsid w:val="007309CC"/>
    <w:rPr>
      <w:lang w:val="en-US" w:eastAsia="en-US"/>
    </w:rPr>
  </w:style>
  <w:style w:type="paragraph" w:customStyle="1" w:styleId="4144E405B2194AEE8394C099E1CBDFE0">
    <w:name w:val="4144E405B2194AEE8394C099E1CBDFE0"/>
    <w:rsid w:val="007309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1A1B56D33304398839B17867640F9" ma:contentTypeVersion="17" ma:contentTypeDescription="Crée un document." ma:contentTypeScope="" ma:versionID="34b424ed9f5cc0f87c48701b27aa633e">
  <xsd:schema xmlns:xsd="http://www.w3.org/2001/XMLSchema" xmlns:xs="http://www.w3.org/2001/XMLSchema" xmlns:p="http://schemas.microsoft.com/office/2006/metadata/properties" xmlns:ns2="f55732a1-9382-4dae-9f7b-5c80977b867b" xmlns:ns3="2968f012-0808-4161-ad44-21bd85fe9475" targetNamespace="http://schemas.microsoft.com/office/2006/metadata/properties" ma:root="true" ma:fieldsID="cb40be33c3658ec4f0c6c5235c04e0f6" ns2:_="" ns3:_="">
    <xsd:import namespace="f55732a1-9382-4dae-9f7b-5c80977b867b"/>
    <xsd:import namespace="2968f012-0808-4161-ad44-21bd85fe9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732a1-9382-4dae-9f7b-5c80977b8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8f012-0808-4161-ad44-21bd85fe947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4dce826-2be9-4959-8bae-4ff369104194}" ma:internalName="TaxCatchAll" ma:showField="CatchAllData" ma:web="2968f012-0808-4161-ad44-21bd85fe9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968f012-0808-4161-ad44-21bd85fe9475" xsi:nil="true"/>
    <lcf76f155ced4ddcb4097134ff3c332f xmlns="f55732a1-9382-4dae-9f7b-5c80977b86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72C73B-EDDF-403B-A21A-94761414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732a1-9382-4dae-9f7b-5c80977b867b"/>
    <ds:schemaRef ds:uri="2968f012-0808-4161-ad44-21bd85fe9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30F88-EE6C-4097-89D1-DED8FD21FF89}">
  <ds:schemaRefs>
    <ds:schemaRef ds:uri="http://schemas.microsoft.com/sharepoint/v3/contenttype/forms"/>
  </ds:schemaRefs>
</ds:datastoreItem>
</file>

<file path=customXml/itemProps3.xml><?xml version="1.0" encoding="utf-8"?>
<ds:datastoreItem xmlns:ds="http://schemas.openxmlformats.org/officeDocument/2006/customXml" ds:itemID="{63619DC7-34B3-42C5-B952-E58D1F5656F2}">
  <ds:schemaRefs>
    <ds:schemaRef ds:uri="http://schemas.openxmlformats.org/officeDocument/2006/bibliography"/>
  </ds:schemaRefs>
</ds:datastoreItem>
</file>

<file path=customXml/itemProps4.xml><?xml version="1.0" encoding="utf-8"?>
<ds:datastoreItem xmlns:ds="http://schemas.openxmlformats.org/officeDocument/2006/customXml" ds:itemID="{274240C1-000D-4F32-A5FC-76CD121E476C}">
  <ds:schemaRefs>
    <ds:schemaRef ds:uri="http://schemas.microsoft.com/office/2006/metadata/properties"/>
    <ds:schemaRef ds:uri="http://schemas.microsoft.com/office/infopath/2007/PartnerControls"/>
    <ds:schemaRef ds:uri="2968f012-0808-4161-ad44-21bd85fe9475"/>
    <ds:schemaRef ds:uri="f55732a1-9382-4dae-9f7b-5c80977b867b"/>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2021mmjj_CP_Stellantis_Communiqué_de_Presse_A4_VF.dotx</Template>
  <TotalTime>0</TotalTime>
  <Pages>3</Pages>
  <Words>677</Words>
  <Characters>3862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Press Release A4</vt:lpstr>
    </vt:vector>
  </TitlesOfParts>
  <Company>Stellantis</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KAILEEN</cp:lastModifiedBy>
  <cp:revision>4</cp:revision>
  <cp:lastPrinted>2023-10-09T13:37:00Z</cp:lastPrinted>
  <dcterms:created xsi:type="dcterms:W3CDTF">2023-10-11T05:32:00Z</dcterms:created>
  <dcterms:modified xsi:type="dcterms:W3CDTF">2023-10-11T05:41:00Z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y fmtid="{D5CDD505-2E9C-101B-9397-08002B2CF9AE}" pid="9" name="ContentTypeId">
    <vt:lpwstr>0x0101009FC1A1B56D33304398839B17867640F9</vt:lpwstr>
  </property>
  <property fmtid="{D5CDD505-2E9C-101B-9397-08002B2CF9AE}" pid="10" name="MediaServiceImageTags">
    <vt:lpwstr/>
  </property>
  <property fmtid="{D5CDD505-2E9C-101B-9397-08002B2CF9AE}" pid="11" name="GrammarlyDocumentId">
    <vt:lpwstr>daf9cc14625a76a7645c8be3f7f70c86431f164447f185a3af4d9f03b5006247</vt:lpwstr>
  </property>
</Properties>
</file>