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6266308"/>
    <w:p w14:paraId="75C4AA0A" w14:textId="79F2FFEE" w:rsidR="00BD59DD" w:rsidRDefault="0086416D" w:rsidP="00896F71">
      <w:pPr>
        <w:pStyle w:val="SSubjectBlock"/>
      </w:pPr>
      <w:r>
        <mc:AlternateContent>
          <mc:Choice Requires="wps">
            <w:drawing>
              <wp:anchor distT="0" distB="0" distL="114300" distR="114300" simplePos="0" relativeHeight="251658240" behindDoc="0" locked="1" layoutInCell="1" allowOverlap="0" wp14:anchorId="42679433" wp14:editId="1AAD449E">
                <wp:simplePos x="0" y="0"/>
                <wp:positionH relativeFrom="column">
                  <wp:posOffset>-1122</wp:posOffset>
                </wp:positionH>
                <wp:positionV relativeFrom="page">
                  <wp:posOffset>1691640</wp:posOffset>
                </wp:positionV>
                <wp:extent cx="429768" cy="64008"/>
                <wp:effectExtent l="0" t="0" r="8890" b="0"/>
                <wp:wrapNone/>
                <wp:docPr id="12"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9019D09" id="Freeform 27" o:spid="_x0000_s1026" style="position:absolute;margin-left:-.1pt;margin-top:133.2pt;width:33.85pt;height: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EO/wIAAIsHAAAOAAAAZHJzL2Uyb0RvYy54bWysVV1v0zAUfUfiP1h+RGJJ068lWrqHDRDS&#10;GEgr4vnWcZoIxza223T8eq6dpAulaBPiJbHjk2Ofc+3jq+tDI8ieG1srmdPJRUwJl0wVtdzm9Ov6&#10;/dtLSqwDWYBQkuf0kVt6vXr96qrVGU9UpUTBDUESabNW57RyTmdRZFnFG7AXSnOJg6UyDTjsmm1U&#10;GGiRvRFREseLqFWm0EYxbi1+ve0G6SrwlyVn7nNZWu6IyCmuzYWnCc+Nf0arK8i2BnRVs34Z8A+r&#10;aKCWOOmR6hYckJ2p/6BqamaUVaW7YKqJVFnWjAcNqGYSn6h5qEDzoAXNsfpok/1/tOx+/6C/GL90&#10;q+8U+27RkajVNjuO+I5FDNm0n1SBNYSdU0HsoTSN/xNlkEPw9PHoKT84wvDjLEmXC9wEDIcWszi+&#10;9JZHkA3/sp11H7gKPLC/s66rSIGt4GdBJDQ46RqrVzYCi/MmItMkJS2Zzmd9/Y6gyRiUkopM01NI&#10;MoLE51mmI8j0PMtsBEmW52nmI0x8di2LEQLVnKdZjkDnadDe561Jx6AnUViK7WA2VIP/7CD7AmCL&#10;gD/McSi5VtaX2lcDC7qe9NVElK/WX8BouQdPXwRGZz14/iIwGujByxeB0SYPDjsCZYc1d+9eq8G4&#10;OA0KQwkGxcZPAJkG5y0amqTNqd+EpMJ3Gvxp1J6vVQA4bxTu1DBrtw9xtieAkGNgZ+gRNgwObx3Y&#10;EtwLKCHEFnINg8O7A4UVPY86XdhAwoSyvDujXm44rEfd3q7RgbVK1MX7WggvOGQ2vxGG7AHTFhjj&#10;0g0b5DekkN65dJ7Mg2dSeYpgsFE7WYRWxaF417cd1KJrB9F9QPlM8jlvs40qHjGf8BrCfK+U+UlJ&#10;i5GeU/tjB4ZTIj5KzMx0Mpv5OyB0ZvNlgh0zHtmMR+SuuVGoAyMFJEPWnLqheeO6KwQzHK25kw+a&#10;eWAou7FuffgGRhONTfwJk/BeDVEO2RByKMUDOmwvqRPSdzDxg/n97eSvlHE/oJ7u0NUvAAAA//8D&#10;AFBLAwQUAAYACAAAACEATvlq594AAAAIAQAADwAAAGRycy9kb3ducmV2LnhtbEyPwU7DMBBE70j8&#10;g7VI3FqHqHVoiFNFSEgVF9TCgaMTb5OIeB3Fbhv4epYTPc7OaOZtsZ3dIM44hd6ThodlAgKp8ban&#10;VsPH+8viEUSIhqwZPKGGbwywLW9vCpNbf6E9ng+xFVxCITcauhjHXMrQdOhMWPoRib2jn5yJLKdW&#10;2slcuNwNMk0SJZ3piRc6M+Jzh83X4eQ07Heq2k0jvVZvK1l/yk32E0ym9f3dXD2BiDjH/zD84TM6&#10;lMxU+xPZIAYNi5SDGlKlViDYV9kaRM2HTK1BloW8fqD8BQAA//8DAFBLAQItABQABgAIAAAAIQC2&#10;gziS/gAAAOEBAAATAAAAAAAAAAAAAAAAAAAAAABbQ29udGVudF9UeXBlc10ueG1sUEsBAi0AFAAG&#10;AAgAAAAhADj9If/WAAAAlAEAAAsAAAAAAAAAAAAAAAAALwEAAF9yZWxzLy5yZWxzUEsBAi0AFAAG&#10;AAgAAAAhAHhwAQ7/AgAAiwcAAA4AAAAAAAAAAAAAAAAALgIAAGRycy9lMm9Eb2MueG1sUEsBAi0A&#10;FAAGAAgAAAAhAE75aufeAAAACAEAAA8AAAAAAAAAAAAAAAAAWQUAAGRycy9kb3ducmV2LnhtbFBL&#10;BQYAAAAABAAEAPMAAABkBgAAAAA=&#10;" o:allowoverlap="f" path="m329,39l,39,27,,354,,329,39xe" fillcolor="#243782 [3204]" stroked="f">
                <v:path arrowok="t" o:connecttype="custom" o:connectlocs="399417,64008;0,64008;32779,0;429768,0;399417,64008" o:connectangles="0,0,0,0,0"/>
                <w10:wrap anchory="page"/>
                <w10:anchorlock/>
              </v:shape>
            </w:pict>
          </mc:Fallback>
        </mc:AlternateContent>
      </w:r>
      <w:r>
        <w:t>Stellantis annonce le lancement de la première tranche</w:t>
      </w:r>
    </w:p>
    <w:p w14:paraId="6716D25A" w14:textId="23DC1BC4" w:rsidR="00896F71" w:rsidRPr="00BA527D" w:rsidRDefault="00D22277" w:rsidP="00896F71">
      <w:pPr>
        <w:pStyle w:val="SSubjectBlock"/>
      </w:pPr>
      <w:r>
        <w:t xml:space="preserve">de son programme de rachat d’actions pour 2024 </w:t>
      </w:r>
    </w:p>
    <w:p w14:paraId="4697B885" w14:textId="692C959E" w:rsidR="00D22277" w:rsidRDefault="000F2FE8" w:rsidP="00857FC3">
      <w:pPr>
        <w:rPr>
          <w:szCs w:val="24"/>
        </w:rPr>
      </w:pPr>
      <w:r>
        <w:t>AMSTERDAM, le</w:t>
      </w:r>
      <w:r w:rsidR="00A9243C">
        <w:t xml:space="preserve"> 28</w:t>
      </w:r>
      <w:r>
        <w:t> février 202</w:t>
      </w:r>
      <w:bookmarkEnd w:id="0"/>
      <w:r>
        <w:t xml:space="preserve">4 - Stellantis N.V. (« Stellantis » ou la « Société ») a annoncé aujourd’hui que dans le cadre de </w:t>
      </w:r>
      <w:bookmarkStart w:id="1" w:name="_Hlk159923858"/>
      <w:r>
        <w:t xml:space="preserve">son programme de rachat d’actions </w:t>
      </w:r>
      <w:bookmarkEnd w:id="1"/>
      <w:r>
        <w:t>(ou le « Programme ») annoncé le 15 février 2024, d’un montant maximum de 3 milliards d’euros (prix d’achat total hors frais annexes) à exécuter sur le marché, Stellantis a signé un accord de rachat d’actions pour la première tranche de son Programme avec une société financière qui réalise</w:t>
      </w:r>
      <w:r w:rsidR="005540FB">
        <w:t>ra</w:t>
      </w:r>
      <w:r>
        <w:t xml:space="preserve"> ses décisions d’achat de manière indépendante de Stellantis.</w:t>
      </w:r>
    </w:p>
    <w:p w14:paraId="466D3690" w14:textId="3B030974" w:rsidR="008B180A" w:rsidRDefault="008B180A" w:rsidP="00857FC3">
      <w:pPr>
        <w:rPr>
          <w:szCs w:val="24"/>
        </w:rPr>
      </w:pPr>
      <w:r>
        <w:t xml:space="preserve">Cet accord couvrira un montant maximum de 1 milliard d’euros </w:t>
      </w:r>
      <w:r w:rsidR="005540FB">
        <w:t>(</w:t>
      </w:r>
      <w:r>
        <w:t>du programme de rachat d’actions de 3 milliards d’euros). La première tranche du Programme débutera le 28 février 2024 et se terminera au plus tard le 5 juin 2024.</w:t>
      </w:r>
    </w:p>
    <w:p w14:paraId="13B1DD2E" w14:textId="545B7DA2" w:rsidR="008B180A" w:rsidRDefault="008B180A" w:rsidP="005540FB">
      <w:pPr>
        <w:rPr>
          <w:szCs w:val="24"/>
        </w:rPr>
      </w:pPr>
      <w:r>
        <w:t xml:space="preserve">La Société envisage d’annuler les actions ordinaires acquises dans le cadre de son </w:t>
      </w:r>
      <w:bookmarkStart w:id="2" w:name="_Hlk159924530"/>
      <w:r>
        <w:t xml:space="preserve">programme de rachat d’actions de 3 milliards d’euros </w:t>
      </w:r>
      <w:bookmarkEnd w:id="2"/>
      <w:r>
        <w:t xml:space="preserve">à l’exception d’une partie pouvant atteindre jusqu’à </w:t>
      </w:r>
      <w:bookmarkStart w:id="3" w:name="_Hlk159924390"/>
      <w:r>
        <w:t>0,5 milliard d’euros</w:t>
      </w:r>
      <w:bookmarkEnd w:id="3"/>
      <w:r w:rsidR="005540FB">
        <w:t xml:space="preserve"> qui</w:t>
      </w:r>
      <w:bookmarkStart w:id="4" w:name="_Hlk159924466"/>
      <w:r w:rsidR="00725C85">
        <w:t xml:space="preserve"> </w:t>
      </w:r>
      <w:bookmarkEnd w:id="4"/>
      <w:r w:rsidR="00725C85">
        <w:t>seront utilisées pour la rémunération basée sur les plans d’actions et les plans d’achat d’actions pour les employés. Cela devrait permettre de soutenir les bénéfices d’un élargissement et d’un renforcement de la culture d’actionnariat de nos équipes, tout en évitant la dilution des actionnaires existants.</w:t>
      </w:r>
    </w:p>
    <w:p w14:paraId="1FB200AD" w14:textId="72002BBB" w:rsidR="00D22277" w:rsidRDefault="009D728C" w:rsidP="00CA363D">
      <w:pPr>
        <w:rPr>
          <w:szCs w:val="24"/>
        </w:rPr>
      </w:pPr>
      <w:r>
        <w:t xml:space="preserve">Le programme de rachat d’actions ordinaires sera mis en œuvre sur la base de l’autorisation accordée par l’assemblée générale des actionnaires du 13 avril 2023, qui pourra être renouvelée ou étendue, jusqu’à un maximum de 10 % du capital social de la société. Le prix d’achat par action ordinaire ne dépassera pas un montant égal à 110 % du prix de marché des actions sur le NYSE, Euronext Milan ou Euronext Paris. Le prix de marché sera calculé comme étant la moyenne du prix le plus élevé de chacun des cinq jours de bourse précédant la date d’acquisition, tel qu’indiqué dans la liste officielle sur le NYSE, Euronext </w:t>
      </w:r>
      <w:r>
        <w:lastRenderedPageBreak/>
        <w:t>Milan ou Euronext Paris. Les rachats seront effectués sous réserve des conditions de marché et conformément aux règles et réglementations applicables, notamment le règlement 596/2014 sur les abus de marché et le règlement délégué (UE) 2016/1052 de la Commission.</w:t>
      </w:r>
    </w:p>
    <w:p w14:paraId="1108244A" w14:textId="7B591909" w:rsidR="00857FC3" w:rsidRDefault="00DA4F73" w:rsidP="00857FC3">
      <w:r>
        <w:t>À ce jour, l’autorisation restante est d’environ 181 millions d’actions et la Société détient en compte propre un total de 142 090 297 actions ordinaires équivalent à 3,52 % du capital émis incluant les actions ordinaires et les actions spéciales avec droit de vote.</w:t>
      </w:r>
    </w:p>
    <w:p w14:paraId="74B711E1" w14:textId="77777777" w:rsidR="00A9243C" w:rsidRDefault="00A9243C" w:rsidP="00857FC3">
      <w:pPr>
        <w:rPr>
          <w:szCs w:val="24"/>
        </w:rPr>
      </w:pPr>
    </w:p>
    <w:p w14:paraId="6074CB32" w14:textId="7F3D62D1" w:rsidR="00045E1F" w:rsidRPr="0026471E" w:rsidRDefault="007E72E8" w:rsidP="00A9243C">
      <w:pPr>
        <w:jc w:val="center"/>
      </w:pPr>
      <w: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57" w:type="dxa"/>
        </w:tblCellMar>
        <w:tblLook w:val="04A0" w:firstRow="1" w:lastRow="0" w:firstColumn="1" w:lastColumn="0" w:noHBand="0" w:noVBand="1"/>
      </w:tblPr>
      <w:tblGrid>
        <w:gridCol w:w="8386"/>
      </w:tblGrid>
      <w:tr w:rsidR="001E6C1E" w:rsidRPr="000A6D27" w14:paraId="3F9E34AD" w14:textId="77777777" w:rsidTr="00BB4D8E">
        <w:trPr>
          <w:trHeight w:val="900"/>
        </w:trPr>
        <w:tc>
          <w:tcPr>
            <w:tcW w:w="8364" w:type="dxa"/>
          </w:tcPr>
          <w:p w14:paraId="1906CDEC" w14:textId="77777777" w:rsidR="00045E1F" w:rsidRPr="00C970C9" w:rsidRDefault="00045E1F" w:rsidP="00BB4D8E">
            <w:pPr>
              <w:pStyle w:val="SSubtitle"/>
              <w:spacing w:before="0" w:after="240"/>
              <w:ind w:right="1454"/>
            </w:pPr>
            <w:bookmarkStart w:id="5" w:name="_Hlk127889686"/>
            <w:r>
              <w:t>À propos de Stellantis</w:t>
            </w:r>
          </w:p>
          <w:p w14:paraId="351690A8" w14:textId="77777777" w:rsidR="00045E1F" w:rsidRPr="004752A6" w:rsidRDefault="00045E1F" w:rsidP="00045E1F">
            <w:pPr>
              <w:pStyle w:val="STextitalic"/>
            </w:pPr>
            <w:r>
              <w:t xml:space="preserve">Stellantis N.V. (NYSE : STLA / Euronext Milan : STLAM / Euronext Paris : STLAP) est l’un des principaux constructeurs automobiles au monde, dont l’objectif est d’offrir à tous une liberté de mobilité propre, sûre et abordable. Connu pour son portefeuille unique de marques emblématiques et innovantes, notamment </w:t>
            </w:r>
            <w:proofErr w:type="spellStart"/>
            <w:r>
              <w:t>Abarth</w:t>
            </w:r>
            <w:proofErr w:type="spellEnd"/>
            <w:r>
              <w:t>, Alfa Romeo, Chrysler, Citroën, Dodge, DS Automobiles, Fiat, Jeep</w:t>
            </w:r>
            <w:r w:rsidRPr="00BB4D8E">
              <w:rPr>
                <w:vertAlign w:val="subscript"/>
              </w:rPr>
              <w:t>®</w:t>
            </w:r>
            <w:r>
              <w:t xml:space="preserve">, Lancia, Maserati, Opel, Peugeot, Ram, Vauxhall, Free2move et </w:t>
            </w:r>
            <w:proofErr w:type="spellStart"/>
            <w:r>
              <w:t>Leasys</w:t>
            </w:r>
            <w:proofErr w:type="spellEnd"/>
            <w:r>
              <w:t xml:space="preserve">. Stellantis est aujourd’hui dans la mise en œuvre son plan stratégique audacieux Dare Forward 2030, afin de devenir une ‘tech company’ de mobilité et d’atteindre la neutralité carbone d’ici à 2038, avec un pourcentage de compensation des émissions résiduelles à un seul chiffre, tout en créant de la valeur ajoutée pour l’ensemble des parties prenantes. Pour en savoir plus, </w:t>
            </w:r>
            <w:hyperlink r:id="rId7" w:history="1">
              <w:r>
                <w:rPr>
                  <w:rStyle w:val="Hyperlink"/>
                  <w:u w:val="single"/>
                </w:rPr>
                <w:t>www.stellantis.com</w:t>
              </w:r>
            </w:hyperlink>
            <w:r>
              <w:rPr>
                <w:rStyle w:val="Hyperlink"/>
                <w:u w:val="single"/>
              </w:rPr>
              <w:t>.</w:t>
            </w:r>
          </w:p>
          <w:tbl>
            <w:tblPr>
              <w:tblStyle w:val="TableGrid"/>
              <w:tblW w:w="88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3"/>
              <w:gridCol w:w="1827"/>
              <w:gridCol w:w="630"/>
              <w:gridCol w:w="1530"/>
              <w:gridCol w:w="630"/>
              <w:gridCol w:w="1350"/>
              <w:gridCol w:w="540"/>
              <w:gridCol w:w="1692"/>
            </w:tblGrid>
            <w:tr w:rsidR="00045E1F" w:rsidRPr="006279C9" w14:paraId="26D891EE" w14:textId="77777777" w:rsidTr="00BB4D8E">
              <w:trPr>
                <w:trHeight w:val="729"/>
              </w:trPr>
              <w:tc>
                <w:tcPr>
                  <w:tcW w:w="603" w:type="dxa"/>
                  <w:vAlign w:val="center"/>
                </w:tcPr>
                <w:p w14:paraId="3DB8402B" w14:textId="77777777" w:rsidR="00045E1F" w:rsidRPr="006279C9" w:rsidRDefault="00045E1F" w:rsidP="00045E1F">
                  <w:pPr>
                    <w:spacing w:after="0"/>
                    <w:jc w:val="left"/>
                    <w:rPr>
                      <w:color w:val="243782" w:themeColor="text2"/>
                      <w:sz w:val="22"/>
                      <w:szCs w:val="22"/>
                    </w:rPr>
                  </w:pPr>
                  <w:r>
                    <w:rPr>
                      <w:noProof/>
                      <w:color w:val="243782" w:themeColor="text2"/>
                      <w:sz w:val="22"/>
                      <w:szCs w:val="22"/>
                    </w:rPr>
                    <w:drawing>
                      <wp:anchor distT="0" distB="0" distL="114300" distR="114300" simplePos="0" relativeHeight="251667456" behindDoc="0" locked="0" layoutInCell="1" allowOverlap="1" wp14:anchorId="3F564071" wp14:editId="351356B0">
                        <wp:simplePos x="0" y="0"/>
                        <wp:positionH relativeFrom="column">
                          <wp:posOffset>1270</wp:posOffset>
                        </wp:positionH>
                        <wp:positionV relativeFrom="paragraph">
                          <wp:posOffset>-170180</wp:posOffset>
                        </wp:positionV>
                        <wp:extent cx="291465" cy="291465"/>
                        <wp:effectExtent l="0" t="0" r="0" b="0"/>
                        <wp:wrapNone/>
                        <wp:docPr id="19" name="Picture 19" descr="Une image contenant cercle,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ercle, symbole, Graphique, Police&#10;&#10;Description générée automatiquement"/>
                                <pic:cNvPicPr/>
                              </pic:nvPicPr>
                              <pic:blipFill>
                                <a:blip r:embed="rId8"/>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827" w:type="dxa"/>
                </w:tcPr>
                <w:p w14:paraId="608281DE" w14:textId="77777777" w:rsidR="00045E1F" w:rsidRPr="006279C9" w:rsidRDefault="00045E1F" w:rsidP="00045E1F">
                  <w:pPr>
                    <w:spacing w:before="120" w:after="0"/>
                    <w:jc w:val="left"/>
                    <w:rPr>
                      <w:color w:val="243782" w:themeColor="text2"/>
                      <w:sz w:val="22"/>
                      <w:szCs w:val="22"/>
                    </w:rPr>
                  </w:pPr>
                  <w:r>
                    <w:rPr>
                      <w:color w:val="243782" w:themeColor="text2"/>
                      <w:sz w:val="22"/>
                      <w:szCs w:val="22"/>
                    </w:rPr>
                    <w:t>@Stellantis</w:t>
                  </w:r>
                </w:p>
              </w:tc>
              <w:tc>
                <w:tcPr>
                  <w:tcW w:w="630" w:type="dxa"/>
                  <w:vAlign w:val="center"/>
                </w:tcPr>
                <w:p w14:paraId="09BD1019" w14:textId="77777777" w:rsidR="00045E1F" w:rsidRPr="006279C9" w:rsidRDefault="00045E1F" w:rsidP="00045E1F">
                  <w:pPr>
                    <w:spacing w:after="0"/>
                    <w:jc w:val="left"/>
                    <w:rPr>
                      <w:color w:val="243782" w:themeColor="text2"/>
                      <w:sz w:val="22"/>
                      <w:szCs w:val="22"/>
                    </w:rPr>
                  </w:pPr>
                  <w:r>
                    <w:rPr>
                      <w:noProof/>
                    </w:rPr>
                    <w:drawing>
                      <wp:anchor distT="0" distB="0" distL="114300" distR="114300" simplePos="0" relativeHeight="251668480" behindDoc="0" locked="0" layoutInCell="1" allowOverlap="1" wp14:anchorId="073EB4CC" wp14:editId="0BAABDAB">
                        <wp:simplePos x="0" y="0"/>
                        <wp:positionH relativeFrom="column">
                          <wp:posOffset>17145</wp:posOffset>
                        </wp:positionH>
                        <wp:positionV relativeFrom="paragraph">
                          <wp:posOffset>-172720</wp:posOffset>
                        </wp:positionV>
                        <wp:extent cx="291465" cy="291465"/>
                        <wp:effectExtent l="0" t="0" r="0" b="0"/>
                        <wp:wrapNone/>
                        <wp:docPr id="20" name="Picture 20" descr="Une image contenant symbol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symbole, logo, Police, cercle&#10;&#10;Description générée automatiquement"/>
                                <pic:cNvPicPr/>
                              </pic:nvPicPr>
                              <pic:blipFill>
                                <a:blip r:embed="rId9"/>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530" w:type="dxa"/>
                </w:tcPr>
                <w:p w14:paraId="351F3885" w14:textId="77777777" w:rsidR="00045E1F" w:rsidRPr="006279C9" w:rsidRDefault="00045E1F" w:rsidP="00045E1F">
                  <w:pPr>
                    <w:spacing w:before="120" w:after="0"/>
                    <w:jc w:val="left"/>
                    <w:rPr>
                      <w:color w:val="243782" w:themeColor="text2"/>
                      <w:sz w:val="22"/>
                      <w:szCs w:val="22"/>
                    </w:rPr>
                  </w:pPr>
                  <w:r>
                    <w:rPr>
                      <w:color w:val="243782" w:themeColor="text2"/>
                      <w:sz w:val="22"/>
                      <w:szCs w:val="22"/>
                    </w:rPr>
                    <w:t>Stellantis</w:t>
                  </w:r>
                </w:p>
              </w:tc>
              <w:tc>
                <w:tcPr>
                  <w:tcW w:w="630" w:type="dxa"/>
                  <w:vAlign w:val="center"/>
                </w:tcPr>
                <w:p w14:paraId="09C80AF4" w14:textId="77777777" w:rsidR="00045E1F" w:rsidRPr="006279C9" w:rsidRDefault="00045E1F" w:rsidP="00045E1F">
                  <w:pPr>
                    <w:spacing w:after="0"/>
                    <w:jc w:val="left"/>
                    <w:rPr>
                      <w:color w:val="243782" w:themeColor="text2"/>
                      <w:sz w:val="22"/>
                      <w:szCs w:val="22"/>
                    </w:rPr>
                  </w:pPr>
                  <w:r>
                    <w:rPr>
                      <w:noProof/>
                      <w:color w:val="243782" w:themeColor="text2"/>
                      <w:sz w:val="22"/>
                      <w:szCs w:val="22"/>
                    </w:rPr>
                    <w:drawing>
                      <wp:anchor distT="0" distB="0" distL="114300" distR="114300" simplePos="0" relativeHeight="251665408" behindDoc="1" locked="0" layoutInCell="1" allowOverlap="1" wp14:anchorId="303B0E82" wp14:editId="64A84C58">
                        <wp:simplePos x="0" y="0"/>
                        <wp:positionH relativeFrom="column">
                          <wp:posOffset>53975</wp:posOffset>
                        </wp:positionH>
                        <wp:positionV relativeFrom="paragraph">
                          <wp:posOffset>-361315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50" w:type="dxa"/>
                </w:tcPr>
                <w:p w14:paraId="5A58F4CD" w14:textId="7A145E46" w:rsidR="00045E1F" w:rsidRPr="006279C9" w:rsidRDefault="00045E1F" w:rsidP="00045E1F">
                  <w:pPr>
                    <w:spacing w:before="120" w:after="0"/>
                    <w:jc w:val="left"/>
                    <w:rPr>
                      <w:color w:val="243782" w:themeColor="text2"/>
                      <w:sz w:val="22"/>
                      <w:szCs w:val="22"/>
                    </w:rPr>
                  </w:pPr>
                  <w:r>
                    <w:rPr>
                      <w:color w:val="243782" w:themeColor="text2"/>
                      <w:sz w:val="22"/>
                      <w:szCs w:val="22"/>
                    </w:rPr>
                    <w:t>Stellantis</w:t>
                  </w:r>
                </w:p>
              </w:tc>
              <w:tc>
                <w:tcPr>
                  <w:tcW w:w="540" w:type="dxa"/>
                  <w:vAlign w:val="center"/>
                </w:tcPr>
                <w:p w14:paraId="21B44539" w14:textId="7A718E80" w:rsidR="00045E1F" w:rsidRPr="006279C9" w:rsidRDefault="00A9243C" w:rsidP="00045E1F">
                  <w:pPr>
                    <w:spacing w:after="0"/>
                    <w:jc w:val="left"/>
                    <w:rPr>
                      <w:color w:val="243782" w:themeColor="text2"/>
                      <w:sz w:val="22"/>
                      <w:szCs w:val="22"/>
                    </w:rPr>
                  </w:pPr>
                  <w:r>
                    <w:rPr>
                      <w:noProof/>
                      <w:color w:val="243782" w:themeColor="text2"/>
                      <w:sz w:val="22"/>
                      <w:szCs w:val="22"/>
                    </w:rPr>
                    <w:drawing>
                      <wp:anchor distT="0" distB="0" distL="114300" distR="114300" simplePos="0" relativeHeight="251666432" behindDoc="1" locked="0" layoutInCell="1" allowOverlap="1" wp14:anchorId="2785B1DF" wp14:editId="74D5A555">
                        <wp:simplePos x="0" y="0"/>
                        <wp:positionH relativeFrom="column">
                          <wp:posOffset>-36830</wp:posOffset>
                        </wp:positionH>
                        <wp:positionV relativeFrom="paragraph">
                          <wp:posOffset>-337820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92" w:type="dxa"/>
                </w:tcPr>
                <w:p w14:paraId="1BD07300" w14:textId="53751680" w:rsidR="00045E1F" w:rsidRPr="006279C9" w:rsidRDefault="00045E1F" w:rsidP="00A9243C">
                  <w:pPr>
                    <w:spacing w:before="120" w:after="0"/>
                    <w:ind w:left="-30" w:right="-195" w:firstLine="120"/>
                    <w:jc w:val="left"/>
                    <w:rPr>
                      <w:color w:val="243782" w:themeColor="text2"/>
                      <w:sz w:val="22"/>
                      <w:szCs w:val="22"/>
                    </w:rPr>
                  </w:pPr>
                  <w:r>
                    <w:rPr>
                      <w:color w:val="243782" w:themeColor="text2"/>
                      <w:sz w:val="22"/>
                      <w:szCs w:val="22"/>
                    </w:rPr>
                    <w:t>Stellantis</w:t>
                  </w:r>
                </w:p>
              </w:tc>
            </w:tr>
          </w:tbl>
          <w:p w14:paraId="5D632383" w14:textId="77777777" w:rsidR="00045E1F" w:rsidRDefault="00045E1F" w:rsidP="00045E1F">
            <w:pPr>
              <w:pStyle w:val="SDatePlace"/>
              <w:rPr>
                <w:b/>
                <w:color w:val="243782" w:themeColor="accent1"/>
                <w:sz w:val="22"/>
              </w:rPr>
            </w:pPr>
            <w:r>
              <w:rPr>
                <w:noProof/>
              </w:rPr>
              <mc:AlternateContent>
                <mc:Choice Requires="wps">
                  <w:drawing>
                    <wp:inline distT="0" distB="0" distL="0" distR="0" wp14:anchorId="23E727CD" wp14:editId="75EEA149">
                      <wp:extent cx="432000" cy="61913"/>
                      <wp:effectExtent l="0" t="0" r="6350" b="0"/>
                      <wp:docPr id="18" name="Freeform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6C983B0B"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9HIDwMAAJ4HAAAOAAAAZHJzL2Uyb0RvYy54bWysVV1v0zAUfUfiP1h5RGJp03Yl0dIJbQwh&#10;jYG0Ip5dx2kiEtvYbtPx6zl2PhZK2RDiJbmOT459z70+vrg81BXZc21KKdJgejYJCBdMZqXYpsGX&#10;9c3rNwExloqMVlLwNHjgJrhcvXxx0aiER7KQVcY1AYkwSaPSoLBWJWFoWMFras6k4gKTudQ1tRjq&#10;bZhp2oC9rsJoMjkPG6kzpSXjxuDrdTsZrDx/nnNmP+W54ZZUaYC9Wf/U/rlxz3B1QZOtpqooWbcN&#10;+g+7qGkpsOhAdU0tJTtd/kZVl0xLI3N7xmQdyjwvGfc5IJvp5Cib+4Iq7nOBOEYNMpn/R8vu9vfq&#10;s3ZbN+pWsm+GCHlVULHlb42CfCiqEylslEkGsBsY/EY2zUeZoax0Z6XP/5Dr2pEhM3LwMj8MMvOD&#10;JQwf5zNUDsVgmDqfxtOZX4Am/b9sZ+x7Lj0P3d8a2xYpQ+QlzoigNRZdgyOvK9TrVUhmUUwaMlvM&#10;u5IOoOkYFJOCzOJjSDSCTE6zzEaQ2WmW+QgSLU/TLEaYycm9nI8QyOY0zXIEOk2DY/e8NPEY9JhU&#10;iDbuxaZFrz87iK4AiAgaxNXV1UNJ40rtqoGCrtt2oQlQbvYPYEjuwH3pnwZDWQdedH3yNBgCOvDy&#10;r8CQyYF9RyBtz9y+u1w1jsCxd+iAwDs2bRcpap1EXgiEpEkD14SkwDv2+tRyz9fSA6wTCp3qV237&#10;EKs9AioxBraCDrB+sn8rzxahF5CCdzJw9ZP9uwX5HT2POt5YT8IqabgzARQbOQ6Bz9vJNTqwRlZl&#10;dlNWlUvY2zi/qjTZUxgwZYwL2zfIL8hKOOXiRbTwmgnpKPy513InMh8VnGbvutjSsmpjn3RnUM6T&#10;nPWbZCOzB/gTbiY4WCH1j4A0cPk0MN93VPOAVB8EbDSezueQ2frBfLGMMNDjmc14RuzqK4k8YClU&#10;MLCmge3DK9veKrB1aHQr7hVzQF92bez68JVqRRRC/AQnvJO9u9OkNzmn74DtUmoT6Qa4BLz43YXl&#10;bpnx2KMer9XVTwAAAP//AwBQSwMEFAAGAAgAAAAhAM3UXMHYAAAAAgEAAA8AAABkcnMvZG93bnJl&#10;di54bWxMj0FLw0AQhe+C/2EZwZvdVCRNYzYlCELxIm09eJxkxyQ0Oxuy2zb66x296OXB4w3vfVNs&#10;ZjeoM02h92xguUhAETfe9twaeDs832WgQkS2OHgmA58UYFNeXxWYW3/hHZ33sVVSwiFHA12MY651&#10;aDpyGBZ+JJbsw08Oo9ip1XbCi5S7Qd8nSaod9iwLHY701FFz3J+cgd02rbbTyC/V64Ou3/V69RVw&#10;ZcztzVw9goo0x79j+MEXdCiFqfYntkENBuSR+KuSpZm42sA6A10W+j96+Q0AAP//AwBQSwECLQAU&#10;AAYACAAAACEAtoM4kv4AAADhAQAAEwAAAAAAAAAAAAAAAAAAAAAAW0NvbnRlbnRfVHlwZXNdLnht&#10;bFBLAQItABQABgAIAAAAIQA4/SH/1gAAAJQBAAALAAAAAAAAAAAAAAAAAC8BAABfcmVscy8ucmVs&#10;c1BLAQItABQABgAIAAAAIQAid9HIDwMAAJ4HAAAOAAAAAAAAAAAAAAAAAC4CAABkcnMvZTJvRG9j&#10;LnhtbFBLAQItABQABgAIAAAAIQDN1FzB2AAAAAIBAAAPAAAAAAAAAAAAAAAAAGkFAABkcnMvZG93&#10;bnJldi54bWxQSwUGAAAAAAQABADzAAAAbgYAAAAA&#10;" path="m329,39l,39,27,,354,,329,39xe" fillcolor="#243782 [3204]" stroked="f">
                      <v:path arrowok="t" o:connecttype="custom" o:connectlocs="401492,61913;0,61913;32949,0;432000,0;401492,61913" o:connectangles="0,0,0,0,0"/>
                      <o:lock v:ext="edit" aspectratio="t"/>
                      <w10:anchorlock/>
                    </v:shape>
                  </w:pict>
                </mc:Fallback>
              </mc:AlternateContent>
            </w:r>
          </w:p>
          <w:p w14:paraId="38B4AE11" w14:textId="77777777" w:rsidR="001E6C1E" w:rsidRPr="007819D6" w:rsidRDefault="001E6C1E" w:rsidP="007819D6">
            <w:pPr>
              <w:pStyle w:val="SContact-Title"/>
            </w:pPr>
            <w:bookmarkStart w:id="6" w:name="_Hlk61784883"/>
            <w:r>
              <w:t>Pour plus d’informations, merci de contacter :</w:t>
            </w:r>
          </w:p>
          <w:bookmarkStart w:id="7" w:name="_Hlk97712922" w:displacedByCustomXml="next"/>
          <w:sdt>
            <w:sdtPr>
              <w:rPr>
                <w:sz w:val="20"/>
              </w:rPr>
              <w:id w:val="143632974"/>
              <w:placeholder>
                <w:docPart w:val="E13664CCD2AD4979B4C83BA5335883C9"/>
              </w:placeholder>
            </w:sdtPr>
            <w:sdtEndPr/>
            <w:sdtContent>
              <w:p w14:paraId="0A2AC9C4" w14:textId="77777777" w:rsidR="00FE7FA9" w:rsidRPr="00A9243C" w:rsidRDefault="00BD5FB4" w:rsidP="00FE7FA9">
                <w:pPr>
                  <w:pStyle w:val="SContact-Sendersinfo"/>
                  <w:rPr>
                    <w:lang w:val="es-ES"/>
                  </w:rPr>
                </w:pPr>
                <w:sdt>
                  <w:sdtPr>
                    <w:rPr>
                      <w:sz w:val="20"/>
                      <w:szCs w:val="20"/>
                    </w:rPr>
                    <w:id w:val="-1719962335"/>
                    <w:placeholder>
                      <w:docPart w:val="B9277BC0B15E4B79AE7945F7C624CE25"/>
                    </w:placeholder>
                  </w:sdtPr>
                  <w:sdtEndPr/>
                  <w:sdtContent>
                    <w:proofErr w:type="spellStart"/>
                    <w:r w:rsidR="007D0013" w:rsidRPr="00A9243C">
                      <w:rPr>
                        <w:sz w:val="20"/>
                        <w:szCs w:val="20"/>
                        <w:lang w:val="es-ES"/>
                      </w:rPr>
                      <w:t>Fernão</w:t>
                    </w:r>
                    <w:proofErr w:type="spellEnd"/>
                    <w:r w:rsidR="007D0013" w:rsidRPr="00A9243C">
                      <w:rPr>
                        <w:sz w:val="20"/>
                        <w:szCs w:val="20"/>
                        <w:lang w:val="es-ES"/>
                      </w:rPr>
                      <w:t xml:space="preserve"> </w:t>
                    </w:r>
                    <w:sdt>
                      <w:sdtPr>
                        <w:rPr>
                          <w:sz w:val="20"/>
                          <w:szCs w:val="20"/>
                        </w:rPr>
                        <w:id w:val="743996128"/>
                        <w:placeholder>
                          <w:docPart w:val="1DCAEABB28964B54A3E1E1C601EAF8CA"/>
                        </w:placeholder>
                      </w:sdtPr>
                      <w:sdtEndPr/>
                      <w:sdtContent>
                        <w:sdt>
                          <w:sdtPr>
                            <w:rPr>
                              <w:sz w:val="20"/>
                              <w:szCs w:val="20"/>
                            </w:rPr>
                            <w:id w:val="1175080926"/>
                            <w:placeholder>
                              <w:docPart w:val="BFCEA3D012E8484C910784CA596FFF9D"/>
                            </w:placeholder>
                          </w:sdtPr>
                          <w:sdtEndPr/>
                          <w:sdtContent>
                            <w:r w:rsidR="007D0013" w:rsidRPr="00A9243C">
                              <w:rPr>
                                <w:sz w:val="20"/>
                                <w:szCs w:val="20"/>
                                <w:lang w:val="es-ES"/>
                              </w:rPr>
                              <w:t>SILVEIRA</w:t>
                            </w:r>
                          </w:sdtContent>
                        </w:sdt>
                      </w:sdtContent>
                    </w:sdt>
                    <w:r w:rsidR="007D0013" w:rsidRPr="00A9243C">
                      <w:rPr>
                        <w:sz w:val="20"/>
                        <w:szCs w:val="20"/>
                        <w:lang w:val="es-ES"/>
                      </w:rPr>
                      <w:t xml:space="preserve"> </w:t>
                    </w:r>
                    <w:sdt>
                      <w:sdtPr>
                        <w:rPr>
                          <w:rFonts w:ascii="Encode Sans ExpandedLight" w:hAnsi="Encode Sans ExpandedLight"/>
                          <w:sz w:val="20"/>
                          <w:szCs w:val="20"/>
                        </w:rPr>
                        <w:id w:val="983514247"/>
                        <w:placeholder>
                          <w:docPart w:val="9A5E45F05C364957A6B992BFAC604BCA"/>
                        </w:placeholder>
                      </w:sdtPr>
                      <w:sdtEndPr/>
                      <w:sdtContent>
                        <w:r w:rsidR="007D0013" w:rsidRPr="00A9243C">
                          <w:rPr>
                            <w:rFonts w:ascii="Encode Sans ExpandedLight" w:hAnsi="Encode Sans ExpandedLight"/>
                            <w:sz w:val="20"/>
                            <w:szCs w:val="20"/>
                            <w:lang w:val="es-ES"/>
                          </w:rPr>
                          <w:t>+31 6 43 25 43 41 – fernao.silveira@stellantis.com</w:t>
                        </w:r>
                      </w:sdtContent>
                    </w:sdt>
                  </w:sdtContent>
                </w:sdt>
              </w:p>
            </w:sdtContent>
          </w:sdt>
          <w:bookmarkEnd w:id="7"/>
          <w:p w14:paraId="6B052661" w14:textId="20A5222B" w:rsidR="001E6C1E" w:rsidRPr="00AD496F" w:rsidRDefault="00B862DF" w:rsidP="000F2FE8">
            <w:pPr>
              <w:pStyle w:val="SFooter-Emailwebsite"/>
              <w:rPr>
                <w:lang w:val="es-ES"/>
              </w:rPr>
            </w:pPr>
            <w:r>
              <w:fldChar w:fldCharType="begin"/>
            </w:r>
            <w:r w:rsidR="00A9243C" w:rsidRPr="00AD496F">
              <w:rPr>
                <w:lang w:val="es-ES"/>
              </w:rPr>
              <w:instrText>HYPERLINK "C:\\Users\\t0900kc\\Downloads\\communications@stellantis.com"</w:instrText>
            </w:r>
            <w:r>
              <w:fldChar w:fldCharType="separate"/>
            </w:r>
            <w:r w:rsidRPr="00AD496F">
              <w:rPr>
                <w:rStyle w:val="Hyperlink"/>
                <w:lang w:val="es-ES"/>
              </w:rPr>
              <w:t>communications@stellantis.com</w:t>
            </w:r>
            <w:r>
              <w:rPr>
                <w:rStyle w:val="Hyperlink"/>
              </w:rPr>
              <w:fldChar w:fldCharType="end"/>
            </w:r>
            <w:r w:rsidRPr="00AD496F">
              <w:rPr>
                <w:lang w:val="es-ES"/>
              </w:rPr>
              <w:br/>
              <w:t>www.stellantis.com</w:t>
            </w:r>
            <w:bookmarkEnd w:id="6"/>
          </w:p>
        </w:tc>
      </w:tr>
      <w:bookmarkEnd w:id="5"/>
    </w:tbl>
    <w:p w14:paraId="062E69B5" w14:textId="77777777" w:rsidR="000A6D27" w:rsidRDefault="000A6D27" w:rsidP="00AD496F">
      <w:pPr>
        <w:pStyle w:val="STITLE"/>
        <w:rPr>
          <w:lang w:val="en-US"/>
        </w:rPr>
      </w:pPr>
    </w:p>
    <w:p w14:paraId="56BAE245" w14:textId="77777777" w:rsidR="000A6D27" w:rsidRDefault="000A6D27">
      <w:pPr>
        <w:spacing w:after="0"/>
        <w:jc w:val="left"/>
        <w:rPr>
          <w:caps/>
          <w:color w:val="243782" w:themeColor="text2"/>
          <w:szCs w:val="18"/>
          <w:lang w:val="en-US"/>
        </w:rPr>
      </w:pPr>
      <w:r>
        <w:rPr>
          <w:lang w:val="en-US"/>
        </w:rPr>
        <w:br w:type="page"/>
      </w:r>
    </w:p>
    <w:p w14:paraId="3ADD7E78" w14:textId="3D99F78E" w:rsidR="00AD496F" w:rsidRPr="00AD496F" w:rsidRDefault="00AD496F" w:rsidP="00AD496F">
      <w:pPr>
        <w:pStyle w:val="STITLE"/>
        <w:rPr>
          <w:lang w:val="en-US"/>
        </w:rPr>
      </w:pPr>
      <w:r w:rsidRPr="00AD496F">
        <w:rPr>
          <w:lang w:val="en-US"/>
        </w:rPr>
        <w:lastRenderedPageBreak/>
        <w:t>FORWARD-LOOKING STATEMENTS</w:t>
      </w:r>
    </w:p>
    <w:p w14:paraId="5E498CBF" w14:textId="77777777" w:rsidR="00AD496F" w:rsidRPr="00AD496F" w:rsidRDefault="00AD496F" w:rsidP="00AD496F">
      <w:pPr>
        <w:spacing w:before="240"/>
        <w:rPr>
          <w:rFonts w:eastAsia="Encode Sans"/>
          <w:i/>
          <w:sz w:val="18"/>
          <w:szCs w:val="18"/>
          <w:lang w:val="en-US"/>
        </w:rPr>
      </w:pPr>
      <w:r w:rsidRPr="00AD496F">
        <w:rPr>
          <w:rFonts w:eastAsia="Encode Sans"/>
          <w:i/>
          <w:sz w:val="18"/>
          <w:szCs w:val="18"/>
          <w:lang w:val="en-US"/>
        </w:rPr>
        <w:t xml:space="preserve">This communication contains forward-looking statements. </w:t>
      </w:r>
      <w:proofErr w:type="gramStart"/>
      <w:r w:rsidRPr="00AD496F">
        <w:rPr>
          <w:rFonts w:eastAsia="Encode Sans"/>
          <w:i/>
          <w:sz w:val="18"/>
          <w:szCs w:val="18"/>
          <w:lang w:val="en-US"/>
        </w:rPr>
        <w:t>In particular, statements</w:t>
      </w:r>
      <w:proofErr w:type="gramEnd"/>
      <w:r w:rsidRPr="00AD496F">
        <w:rPr>
          <w:rFonts w:eastAsia="Encode Sans"/>
          <w:i/>
          <w:sz w:val="18"/>
          <w:szCs w:val="18"/>
          <w:lang w:val="en-US"/>
        </w:rPr>
        <w:t xml:space="preserve"> regarding future events and anticipated results of operations, business strategies, the anticipated benefits of the proposed transaction, future financial and operating results, the anticipated closing date for the proposed transaction and other anticipated aspects of our operations or operating results are forward-looking statements. These statements may include terms such as “may”, “will”, “expect”, “could”, “should”, “intend”, “estimate”, “anticipate”, “believe”, “remain”, “on track”, “design”, “target”, “objective”, “goal”, “forecast”, “projection”, “outlook”, “prospects”, “plan”, or similar terms. Forward-looking statements are not guarantees of future performance. Rather, they are based on Stellantis’ current state of knowledge, future expectations and projections about future events and are by their nature, subject to inherent risks and uncertainties. They relate to events and depend on circumstances that may or may not occur or exist in the future and, as such, undue reliance should not be placed on them.</w:t>
      </w:r>
    </w:p>
    <w:p w14:paraId="46A97359" w14:textId="77777777" w:rsidR="00AD496F" w:rsidRPr="00AD496F" w:rsidRDefault="00AD496F" w:rsidP="00AD496F">
      <w:pPr>
        <w:spacing w:before="240"/>
        <w:rPr>
          <w:rFonts w:eastAsia="Encode Sans"/>
          <w:i/>
          <w:sz w:val="18"/>
          <w:szCs w:val="18"/>
          <w:lang w:val="en-US"/>
        </w:rPr>
      </w:pPr>
      <w:r w:rsidRPr="00AD496F">
        <w:rPr>
          <w:rFonts w:eastAsia="Encode Sans"/>
          <w:i/>
          <w:sz w:val="18"/>
          <w:szCs w:val="18"/>
          <w:lang w:val="en-US"/>
        </w:rPr>
        <w:t>Actual results may differ materially from those expressed in forward-looking statements as a result of a variety of factors, including: the ability of Stellantis to launch new products successfully and to maintain vehicle shipment volumes; changes in the global financial markets, general economic environment and changes in demand for automotive products, which is subject to cyclicality; Stellantis’ ability to successfully manage the industry-wide transition from internal combustion engines to full electrification; Stellantis’ ability to offer innovative, attractive products and to develop, manufacture and sell vehicles with advanced features including enhanced electrification, connectivity and autonomous-driving characteristics; Stellantis’ ability to produce or procure electric batteries with competitive performance, cost and at required volumes; Stellantis’ ability to successfully launch new businesses and integrate acquisitions; a significant malfunction, disruption or security breach compromising information technology systems or the electronic control systems contained in Stellantis’ vehicles; exchange rate fluctuations, interest rate changes, credit risk and other market risks; increases in costs, disruptions of supply or shortages of raw materials, parts, components and systems used in Stellantis’ vehicles; changes in local economic and political conditions; changes in trade policy, the imposition of global and regional tariffs or tariffs targeted to the automotive industry, the enactment of tax reforms or other changes in tax laws and regulations; the level of governmental economic incentives available to support the adoption of battery electric vehicles; the impact of increasingly stringent regulations regarding fuel efficiency requirements and reduced greenhouse gas and tailpipe emissions; various types of claims, lawsuits, governmental investigations and other contingencies, including product liability and warranty claims and environmental claims, investigations and lawsuits; material operating expenditures in relation to compliance with environmental, health and safety regulations; the level of competition in the automotive industry, which may increase due to consolidation and new entrants; Stellantis’ ability to attract and retain experienced management and employees; exposure to shortfalls in the funding of Stellantis’ defined benefit pension plans; Stellantis’ ability to provide or arrange for access to adequate financing for dealers and retail customers and associated risks related to the operations of financial services companies; Stellantis’ ability to access funding to execute its business plan; Stellantis’ ability to realize anticipated benefits from joint venture arrangements; disruptions arising from political, social and economic instability; risks associated with Stellantis’ relationships with employees, dealers and suppliers; Stellantis’ ability to maintain effective internal controls over financial reporting; developments in labor and industrial relations and developments in applicable labor laws; earthquakes or other disasters; risks and other items described in Stellantis’ Annual Report on Form 20-F for the year ended December 31, 2023 and Current Reports on Form 6-K and amendments thereto filed with the SEC; and other risks and uncertainties.</w:t>
      </w:r>
    </w:p>
    <w:p w14:paraId="6E0812D8" w14:textId="3E695C22" w:rsidR="00830EC0" w:rsidRPr="00AD496F" w:rsidRDefault="00AD496F" w:rsidP="00830EC0">
      <w:pPr>
        <w:spacing w:after="0"/>
        <w:jc w:val="left"/>
        <w:rPr>
          <w:lang w:val="en-US"/>
        </w:rPr>
      </w:pPr>
      <w:r w:rsidRPr="00AD496F">
        <w:rPr>
          <w:rFonts w:eastAsia="Encode Sans"/>
          <w:i/>
          <w:sz w:val="18"/>
          <w:szCs w:val="18"/>
          <w:lang w:val="en-US"/>
        </w:rPr>
        <w:t xml:space="preserve"> Any forward-looking statements contained in this communication speak only as of the date of this document and Stellantis disclaims any obligation to update or revise publicly forward-looking statements. Further information concerning Stellantis and its businesses, including factors that could materially affect Stellantis’ financial results, is included in Stellantis’ reports and filings with the U.S. Securities and Exchange Commission and AFM.</w:t>
      </w:r>
    </w:p>
    <w:p w14:paraId="6C03B778" w14:textId="77777777" w:rsidR="00D814DF" w:rsidRPr="00AD496F" w:rsidRDefault="00D814DF" w:rsidP="0026471E">
      <w:pPr>
        <w:tabs>
          <w:tab w:val="left" w:pos="8280"/>
        </w:tabs>
        <w:spacing w:after="0"/>
        <w:jc w:val="left"/>
        <w:rPr>
          <w:lang w:val="en-US"/>
        </w:rPr>
      </w:pPr>
    </w:p>
    <w:sectPr w:rsidR="00D814DF" w:rsidRPr="00AD496F" w:rsidSect="006D0385">
      <w:headerReference w:type="first" r:id="rId12"/>
      <w:pgSz w:w="12242" w:h="15842" w:code="134"/>
      <w:pgMar w:top="1134" w:right="1928" w:bottom="1134" w:left="1928" w:header="1021" w:footer="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A5C4C" w14:textId="77777777" w:rsidR="00963876" w:rsidRDefault="00963876" w:rsidP="008D3E4C">
      <w:r>
        <w:separator/>
      </w:r>
    </w:p>
  </w:endnote>
  <w:endnote w:type="continuationSeparator" w:id="0">
    <w:p w14:paraId="4ABCFF45" w14:textId="77777777" w:rsidR="00963876" w:rsidRDefault="00963876" w:rsidP="008D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36474BDD-ACAE-4888-A711-BB96FEA08607}"/>
    <w:embedBold r:id="rId2" w:fontKey="{AD377183-CED8-4F0A-ABBC-E9DD5453E24D}"/>
    <w:embedItalic r:id="rId3" w:fontKey="{9671EDF0-6637-4B66-A7E9-9DB89DDEAC59}"/>
  </w:font>
  <w:font w:name="Encode Sans ExpandedSemiBold">
    <w:panose1 w:val="00000000000000000000"/>
    <w:charset w:val="00"/>
    <w:family w:val="auto"/>
    <w:pitch w:val="variable"/>
    <w:sig w:usb0="A00000FF" w:usb1="4000207B" w:usb2="00000000" w:usb3="00000000" w:csb0="00000193" w:csb1="00000000"/>
    <w:embedRegular r:id="rId4" w:fontKey="{53618CAA-2881-4239-ABA5-E683273F2F41}"/>
    <w:embedItalic r:id="rId5" w:fontKey="{7F7029C8-D21D-4F6A-96DA-B822316B49E8}"/>
  </w:font>
  <w:font w:name="Segoe UI">
    <w:panose1 w:val="020B0502040204020203"/>
    <w:charset w:val="00"/>
    <w:family w:val="swiss"/>
    <w:pitch w:val="variable"/>
    <w:sig w:usb0="E4002EFF" w:usb1="C000E47F" w:usb2="00000009" w:usb3="00000000" w:csb0="000001FF" w:csb1="00000000"/>
  </w:font>
  <w:font w:name="Encode Sans">
    <w:panose1 w:val="00000000000000000000"/>
    <w:charset w:val="00"/>
    <w:family w:val="auto"/>
    <w:pitch w:val="variable"/>
    <w:sig w:usb0="A00000FF" w:usb1="4000207B"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1DCED" w14:textId="77777777" w:rsidR="00963876" w:rsidRDefault="00963876" w:rsidP="008D3E4C">
      <w:r>
        <w:separator/>
      </w:r>
    </w:p>
  </w:footnote>
  <w:footnote w:type="continuationSeparator" w:id="0">
    <w:p w14:paraId="3647044A" w14:textId="77777777" w:rsidR="00963876" w:rsidRDefault="00963876" w:rsidP="008D3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7CFF8" w14:textId="77777777" w:rsidR="005F2120" w:rsidRDefault="00A33E8D" w:rsidP="008D3E4C">
    <w:pPr>
      <w:pStyle w:val="Header"/>
    </w:pPr>
    <w:r>
      <w:rPr>
        <w:noProof/>
      </w:rPr>
      <mc:AlternateContent>
        <mc:Choice Requires="wpg">
          <w:drawing>
            <wp:anchor distT="0" distB="0" distL="114300" distR="114300" simplePos="0" relativeHeight="251660288" behindDoc="1" locked="1" layoutInCell="1" allowOverlap="1" wp14:anchorId="76B7CFDE" wp14:editId="7220DCB3">
              <wp:simplePos x="0" y="0"/>
              <wp:positionH relativeFrom="page">
                <wp:posOffset>450850</wp:posOffset>
              </wp:positionH>
              <wp:positionV relativeFrom="page">
                <wp:posOffset>-25400</wp:posOffset>
              </wp:positionV>
              <wp:extent cx="269875" cy="2863850"/>
              <wp:effectExtent l="0" t="0" r="0" b="0"/>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863850"/>
                        <a:chOff x="0" y="-89386"/>
                        <a:chExt cx="315912" cy="2835761"/>
                      </a:xfrm>
                    </wpg:grpSpPr>
                    <wps:wsp>
                      <wps:cNvPr id="6"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3" name="Freeform 14">
                        <a:extLst>
                          <a:ext uri="{FF2B5EF4-FFF2-40B4-BE49-F238E27FC236}">
                            <a16:creationId xmlns:a16="http://schemas.microsoft.com/office/drawing/2014/main" id="{884F86C7-01D7-4A0E-8329-E6351412D64E}"/>
                          </a:ext>
                        </a:extLst>
                      </wps:cNvPr>
                      <wps:cNvSpPr>
                        <a:spLocks/>
                      </wps:cNvSpPr>
                      <wps:spPr bwMode="auto">
                        <a:xfrm>
                          <a:off x="0" y="-89386"/>
                          <a:ext cx="315912" cy="2729399"/>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533C88" w14:textId="77777777" w:rsidR="00A33E8D" w:rsidRPr="00150AD4" w:rsidRDefault="00A33E8D" w:rsidP="008D3E4C">
                            <w:pPr>
                              <w:pStyle w:val="SPRESSRELEASESTRIP"/>
                            </w:pPr>
                            <w:r>
                              <w:t>COMMUNIQUÉ DE PRESSE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6B7CFDE" id="Groupe 29" o:spid="_x0000_s1026" style="position:absolute;margin-left:35.5pt;margin-top:-2pt;width:21.25pt;height:225.5pt;z-index:-251656192;mso-position-horizontal-relative:page;mso-position-vertical-relative:page;mso-width-relative:margin;mso-height-relative:margin" coordorigin=",-893" coordsize="3159,28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HH6fwgAAI0zAAAOAAAAZHJzL2Uyb0RvYy54bWzsW9tu3DYQfS/QfxD0WCBZ67oXZB2kbhIU&#10;SJMAcdFnWau9oFpJlWSvk6/vzJCUyDVpj9PEKJD1gyFRo8OZwyF5SHFfvLzdl95N0Xa7ulr6wfMz&#10;3yuqvF7tqs3S//PyzbOZ73V9Vq2ysq6Kpf+56PyX5z//9OLQLIqw3tblqmg9AKm6xaFZ+tu+bxaT&#10;SZdvi33WPa+booKH67rdZz3ctpvJqs0OgL4vJ+HZWTo51O2qaeu86Doo/U089M8Jf70u8v7Det0V&#10;vVcuffCtp/8t/b/C/5PzF9li02bNdpdLN7Kv8GKf7SqodID6Lesz77rd3YHa7/K27up1/zyv95N6&#10;vd7lBcUA0QRnR9G8bevrhmLZLA6bZqAJqD3i6ath8/c3b9vmU/OxFd7D5bs6/7vzqvpim1Wb4lXX&#10;AInQtEjV5NBsFvoreL8Z379dt3vEgbi8WyL580Bycdt7ORSG6Xw2TXwvh0fhLI1miWyFfAtNNb72&#10;bDaPZqlooHz7Wr4dBck8CNXbUTJNhWPZQtRNHg4eHRrIqm4krvtvxH3aZk1B7dEhCx9bb7da+qnv&#10;VdkecvvVdV+TiTdFt7FysFLcdk5iR67btj5si2wFfgaAWl8Caa9XO41+DRLxO2g47+rwR72C+jOo&#10;n5LQ2gxRAKxTuquWMLicxhH0J2pkxWW2aNquf1vUew8vln4LmUAVZDfvuh7zYTTBZq/qN7uypDrK&#10;yigAQyyB1hE+C3au6tVn8B+GDwDf1u0X3ztAV1z63T/XWVv4Xvl7BVTMgzjGvks3cTIN4abVn1zp&#10;T6rr/UUNvR0IzKocUJd+ry4vetH1oe81Wf+u+tTkaIiuYoSXt39lbSOD7YGm96I9bTELWxmSCETe&#10;QMKJ8L575k1V5n24yUpvzkk6I8OwBY0sVc3zYEol0Rz7MHbhFLpweJxZ8RyKqItH8De7P62Kstw1&#10;HXasbOHIrK4udytMLrShyaG4KCFzMmjoLM+LqlfDgGFZVt4B8icBZ4x0zBYwslYrylTsb6/ldZ/t&#10;SnF9StjvMVSCGBBDJSVsQMONkYDQuMfD5DfKWBhD4hQmjlPKnsbYdmVTW/bZfW6mLA0zT5SyIQyd&#10;p5Q9yQL3AsGesjCuGsNs+ITCIDgLUpCRNMxOwzhQ4l5pzjCaDfI9DIVugLlWKdYjwXlSBj+KlA1w&#10;vUOrKCENoqfMWRCIapw95exp+XV3I8YxzkYqZ9+0RYF7VF4Qu/P261dbYjzVN0TUcGou4cN5NKdV&#10;oDai5tdiCa8vrmCbagULeCzarGS3u4RK1vsSNr9+mXizwDvAP4xFN4E+OpiceVsvFbXpJqCwNRMb&#10;CJCmWVhBYsPEBgKLywEknUd2X2BjZjA6swYEC+jBwgkDi5bByA4DGnGwcMLgrDxaWd3BQXA0mc/t&#10;YeH8OVgFoR1JZ9ntkk60C4lFdaBzHUR2n1hsBzrdwcyOZBA+m9l5wm2igafQ7lNoMu5IpFBn3IXE&#10;YjzUGXchsRgPdcbDuZWn0GTckU+hzniU2JEMxl0dLtIZdyBFLMYjnXEXEovxSGc8to9rkcG4K58i&#10;nfE4tfIUmYw78gk2xMbMdCGxGMd90SHHHUgxi/FYZ9yFxGI8Nhi38xQbjLvyKdYZT+wjXWwy7sjx&#10;WGc8sY8qMYtxWNCMjDuQEhbjic64C4nFeKIzntpHusRg3JXjic54ah9VEpNxR44nOuMuJBbjqc64&#10;Awm+Ao2t4pzvUOQPvWVqH+lSk3FHPqU64w61lBqMu3I81Rl3IbEYT3XGXUgsxqc64w6kqc64JgZB&#10;eg7iMtuKz0TZIr+tpOCEK/guA18wz8Rnl7rDT36oPmFn9lLt4oMVSk+HMTQjGtMaEeq73xhaCo3p&#10;C8WDxtAYaEzf7x40Br7RWCnu+91A+YfWoPFwIfCQ1yjyyJwXJKw7hDkvTJRrhM4LFDUZmfNCReGF&#10;5iCuOKGiuiJzXqgoocicFyrqJDLnhYpiiMx5oaLiQXNQNZxQUdaQOS9U1C5kzgsVBQqZ80JFFULm&#10;vFBRaqA5yAlOqKgnyJwXKooGMueFisqAzHmh4vRP5rxQcY5Hc5jHOaHiRE7mvFBxtiZzXqg4JZM5&#10;L1Scd8mcFypOrmg+HKO4fxST22SXMEtymMFpktB5oeJcSOa8UHHCI3NeqDiroTnMXJrvYiSWkxMe&#10;cDg+KdT6HpwUusJ34JRA1uOcpi7x6zJsk3hbOAUCeyFYvK9visuaDHqc2fAx1KpOVoyP8+urXf5r&#10;8UU3Fh7K8zANvX9/EXpv4Jh3OgSoIhmDhntf4Q+BLQ8YCaJA+kFTDbtaolDkpCxkcSKn+iMcOaOn&#10;c6PKoXToUA82p/kK5CS1J6eU571iwUiXgFH6OHgjywPQykj9jI6KDDGJDi5LWfBSexwBSYmRzo1K&#10;QyMmHrzxivLTBLKX/q/gjRSUCukoXUNYKYydgeV9pMih8VjRgJsrBGRUOpTy89585Q68ka6mLc97&#10;5ec9QPZKefBqHDFSUGqwo3TFHZuxN7DgY8m92YGkTDrK+6GUz735iqKBU8rzXpFjcH+Cp5F9oIFU&#10;0cC90T9VqZSij5mtpL486v5SRh7NVkMpP3PMVwY/5chuahLTlpU55ivfHl6xbPRa3G0a+6eqFHeO&#10;xlKW91LwHnV/qWuPem2qXOFzb74y+GkA2Ut53jOAvgW8MXHgvhNNJ8YkIw+jPibvpyoFDSAp14/y&#10;fijlc2++omjglLK45wDZK70DX1b6EkQCU76DqXqYl3VXiGUTroFoB2tYDBHk+JnZOIL7mMO6uGoa&#10;zpBT5fKAMh5zF2eq+9urW3ADT+AZp8fxDHmIKzzbAfIwwaPt8gA5XIjD4xEcVIIbcXg8mMEN3FlO&#10;j+c9LAHFUfKnOz9Ov2OA33wQ0fL3KfijEv2eyBl/RXP+LwAAAP//AwBQSwMEFAAGAAgAAAAhAMPP&#10;dcHgAAAACQEAAA8AAABkcnMvZG93bnJldi54bWxMj0FrwkAQhe+F/odlCr3pJjVWiZmISNuTFNRC&#10;6W3MjkkwuxuyaxL/fddTe3oMb3jve9l61I3ouXO1NQjxNALBprCqNiXC1/F9sgThPBlFjTWMcGMH&#10;6/zxIaNU2cHsuT/4UoQQ41JCqLxvUyldUbEmN7Utm+CdbafJh7MrpepoCOG6kS9R9Co11SY0VNTy&#10;tuLicrhqhI+Bhs0sfut3l/P29nOcf37vYkZ8fho3KxCeR//3DHf8gA55YDrZq1FONAiLOEzxCJMk&#10;6N2PZ3MQJ4QkWUQg80z+X5D/AgAA//8DAFBLAQItABQABgAIAAAAIQC2gziS/gAAAOEBAAATAAAA&#10;AAAAAAAAAAAAAAAAAABbQ29udGVudF9UeXBlc10ueG1sUEsBAi0AFAAGAAgAAAAhADj9If/WAAAA&#10;lAEAAAsAAAAAAAAAAAAAAAAALwEAAF9yZWxzLy5yZWxzUEsBAi0AFAAGAAgAAAAhANKQcfp/CAAA&#10;jTMAAA4AAAAAAAAAAAAAAAAALgIAAGRycy9lMm9Eb2MueG1sUEsBAi0AFAAGAAgAAAAhAMPPdcHg&#10;AAAACQEAAA8AAAAAAAAAAAAAAAAA2QoAAGRycy9kb3ducmV2LnhtbFBLBQYAAAAABAAEAPMAAADm&#10;Cw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dwgAAANsAAAAPAAAAZHJzL2Rvd25yZXYueG1sRE9Na8JA&#10;EL0X/A/LCL3VXXsoJXUVlbZ4aWlUiscxOybB7GzIjpr++64geJvH+5zJrPeNOlMX68AWxiMDirgI&#10;rubSwnbz8fQKKgqywyYwWfijCLPp4GGCmQsXzum8llKlEI4ZWqhE2kzrWFTkMY5CS5y4Q+g8SoJd&#10;qV2HlxTuG/1szIv2WHNqqLClZUXFcX3yFr6Oi/eD2f5+/7Ri8t2nz/u9LKx9HPbzN1BCvdzFN/fK&#10;pfljuP6SDtDTfwAAAP//AwBQSwECLQAUAAYACAAAACEA2+H2y+4AAACFAQAAEwAAAAAAAAAAAAAA&#10;AAAAAAAAW0NvbnRlbnRfVHlwZXNdLnhtbFBLAQItABQABgAIAAAAIQBa9CxbvwAAABUBAAALAAAA&#10;AAAAAAAAAAAAAB8BAABfcmVscy8ucmVsc1BLAQItABQABgAIAAAAIQDzd+ydwgAAANsAAAAPAAAA&#10;AAAAAAAAAAAAAAcCAABkcnMvZG93bnJldi54bWxQSwUGAAAAAAMAAwC3AAAA9gIAAAAA&#10;" fillcolor="#243782 [3204]" stroked="f"/>
              <v:shape id="Freeform 14" o:spid="_x0000_s1033" style="position:absolute;top:-893;width:3159;height:27293;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VF6wQAAANsAAAAPAAAAZHJzL2Rvd25yZXYueG1sRE/fa8Iw&#10;EH4X9j+EG/im6VwV6UzLEIQ9ONQ69nw0t6bYXEoStfvvl8Fgb/fx/bxNNdpe3MiHzrGCp3kGgrhx&#10;uuNWwcd5N1uDCBFZY++YFHxTgKp8mGyw0O7OJ7rVsRUphEOBCkyMQyFlaAxZDHM3ECfuy3mLMUHf&#10;Su3xnsJtLxdZtpIWO04NBgfaGmou9dUqOOT5e3vY++FyXedHcvGTlt1Cqenj+PoCItIY/8V/7jed&#10;5j/D7y/pAFn+AAAA//8DAFBLAQItABQABgAIAAAAIQDb4fbL7gAAAIUBAAATAAAAAAAAAAAAAAAA&#10;AAAAAABbQ29udGVudF9UeXBlc10ueG1sUEsBAi0AFAAGAAgAAAAhAFr0LFu/AAAAFQEAAAsAAAAA&#10;AAAAAAAAAAAAHwEAAF9yZWxzLy5yZWxzUEsBAi0AFAAGAAgAAAAhAM+dUXrBAAAA2wAAAA8AAAAA&#10;AAAAAAAAAAAABwIAAGRycy9kb3ducmV2LnhtbFBLBQYAAAAAAwADALcAAAD1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705971;0,2705971;0,2705971;23401,2729399;46802,2705971;46802,2705971;50702,2705971;70203,2686447;89703,2705971;89703,2705971;89703,2705971;113104,2729399;136505,2705971;136505,2705971;136505,2705971;159906,2686447;179407,2705971;179407,2705971;179407,2705971;179407,2705971;179407,2705971;202808,2729399;226209,2705971;226209,2705971;226209,2705971;245709,2686447;269110,2705971;269110,2705971;269110,2705971;292511,2729399;315912,2705971;315912,2705971;315912,2705971;315912,0" o:connectangles="0,0,0,0,0,0,0,0,0,0,0,0,0,0,0,0,0,0,0,0,0,0,0,0,0,0,0,0,0,0,0,0,0,0,0,0" textboxrect="0,0,81,699"/>
                <v:textbox style="layout-flow:vertical;mso-layout-flow-alt:bottom-to-top" inset=".7mm,0,1mm,5mm">
                  <w:txbxContent>
                    <w:p w14:paraId="22533C88" w14:textId="77777777" w:rsidR="00A33E8D" w:rsidRPr="00150AD4" w:rsidRDefault="00A33E8D" w:rsidP="008D3E4C">
                      <w:pPr>
                        <w:pStyle w:val="SPRESSRELEASESTRIP"/>
                      </w:pPr>
                      <w:r>
                        <w:t>COMMUNIQUÉ DE PRESSE</w:t>
                      </w:r>
                    </w:p>
                  </w:txbxContent>
                </v:textbox>
              </v:shape>
              <w10:wrap anchorx="page" anchory="page"/>
              <w10:anchorlock/>
            </v:group>
          </w:pict>
        </mc:Fallback>
      </mc:AlternateContent>
    </w:r>
    <w:r>
      <w:rPr>
        <w:noProof/>
      </w:rPr>
      <w:drawing>
        <wp:inline distT="0" distB="0" distL="0" distR="0" wp14:anchorId="3352C24A" wp14:editId="08F461A9">
          <wp:extent cx="2317210" cy="718820"/>
          <wp:effectExtent l="0" t="0" r="6985"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1E19D1"/>
    <w:multiLevelType w:val="multilevel"/>
    <w:tmpl w:val="54F6B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F960835"/>
    <w:multiLevelType w:val="multilevel"/>
    <w:tmpl w:val="193A43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0227882"/>
    <w:multiLevelType w:val="hybridMultilevel"/>
    <w:tmpl w:val="BB90FC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1954CF1"/>
    <w:multiLevelType w:val="hybridMultilevel"/>
    <w:tmpl w:val="23804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3532916"/>
    <w:multiLevelType w:val="multilevel"/>
    <w:tmpl w:val="C8BC7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85823936">
    <w:abstractNumId w:val="8"/>
  </w:num>
  <w:num w:numId="2" w16cid:durableId="1802455943">
    <w:abstractNumId w:val="3"/>
  </w:num>
  <w:num w:numId="3" w16cid:durableId="2000112735">
    <w:abstractNumId w:val="2"/>
  </w:num>
  <w:num w:numId="4" w16cid:durableId="1117798027">
    <w:abstractNumId w:val="1"/>
  </w:num>
  <w:num w:numId="5" w16cid:durableId="596408328">
    <w:abstractNumId w:val="0"/>
  </w:num>
  <w:num w:numId="6" w16cid:durableId="587428809">
    <w:abstractNumId w:val="9"/>
  </w:num>
  <w:num w:numId="7" w16cid:durableId="631863063">
    <w:abstractNumId w:val="7"/>
  </w:num>
  <w:num w:numId="8" w16cid:durableId="317423227">
    <w:abstractNumId w:val="6"/>
  </w:num>
  <w:num w:numId="9" w16cid:durableId="1098407148">
    <w:abstractNumId w:val="5"/>
  </w:num>
  <w:num w:numId="10" w16cid:durableId="333800750">
    <w:abstractNumId w:val="4"/>
  </w:num>
  <w:num w:numId="11" w16cid:durableId="1475832669">
    <w:abstractNumId w:val="14"/>
  </w:num>
  <w:num w:numId="12" w16cid:durableId="1108544594">
    <w:abstractNumId w:val="15"/>
  </w:num>
  <w:num w:numId="13" w16cid:durableId="1080105768">
    <w:abstractNumId w:val="10"/>
  </w:num>
  <w:num w:numId="14" w16cid:durableId="2010601034">
    <w:abstractNumId w:val="11"/>
  </w:num>
  <w:num w:numId="15" w16cid:durableId="1265574586">
    <w:abstractNumId w:val="13"/>
  </w:num>
  <w:num w:numId="16" w16cid:durableId="125567089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9E7"/>
    <w:rsid w:val="00015D93"/>
    <w:rsid w:val="00017DF1"/>
    <w:rsid w:val="00021C51"/>
    <w:rsid w:val="00023056"/>
    <w:rsid w:val="00032509"/>
    <w:rsid w:val="00034E71"/>
    <w:rsid w:val="00045E1F"/>
    <w:rsid w:val="00055F10"/>
    <w:rsid w:val="0006020F"/>
    <w:rsid w:val="00074112"/>
    <w:rsid w:val="00087566"/>
    <w:rsid w:val="000A6D27"/>
    <w:rsid w:val="000B55A2"/>
    <w:rsid w:val="000B6E83"/>
    <w:rsid w:val="000C24E1"/>
    <w:rsid w:val="000E2995"/>
    <w:rsid w:val="000F2FE8"/>
    <w:rsid w:val="0010367B"/>
    <w:rsid w:val="00103DF5"/>
    <w:rsid w:val="0010465E"/>
    <w:rsid w:val="00104F75"/>
    <w:rsid w:val="001115D6"/>
    <w:rsid w:val="00126E5A"/>
    <w:rsid w:val="001400DC"/>
    <w:rsid w:val="00140A24"/>
    <w:rsid w:val="00140D0E"/>
    <w:rsid w:val="001507D9"/>
    <w:rsid w:val="00150AD4"/>
    <w:rsid w:val="00154A25"/>
    <w:rsid w:val="0015732F"/>
    <w:rsid w:val="00195CBD"/>
    <w:rsid w:val="001965B3"/>
    <w:rsid w:val="00196A61"/>
    <w:rsid w:val="001B0085"/>
    <w:rsid w:val="001B591C"/>
    <w:rsid w:val="001C0FF2"/>
    <w:rsid w:val="001D168B"/>
    <w:rsid w:val="001D6022"/>
    <w:rsid w:val="001E07C8"/>
    <w:rsid w:val="001E0AC3"/>
    <w:rsid w:val="001E5F48"/>
    <w:rsid w:val="001E6C1E"/>
    <w:rsid w:val="001F4703"/>
    <w:rsid w:val="001F6B51"/>
    <w:rsid w:val="00201B8F"/>
    <w:rsid w:val="00214443"/>
    <w:rsid w:val="0022588D"/>
    <w:rsid w:val="0023542B"/>
    <w:rsid w:val="00237EBF"/>
    <w:rsid w:val="00240E84"/>
    <w:rsid w:val="00241211"/>
    <w:rsid w:val="00242220"/>
    <w:rsid w:val="00244B95"/>
    <w:rsid w:val="00251BEE"/>
    <w:rsid w:val="00253AD7"/>
    <w:rsid w:val="00257500"/>
    <w:rsid w:val="0026471E"/>
    <w:rsid w:val="00271869"/>
    <w:rsid w:val="00282E05"/>
    <w:rsid w:val="002836DD"/>
    <w:rsid w:val="00284F32"/>
    <w:rsid w:val="002936D1"/>
    <w:rsid w:val="00293E0C"/>
    <w:rsid w:val="002A73B3"/>
    <w:rsid w:val="002B24B2"/>
    <w:rsid w:val="002B4C5C"/>
    <w:rsid w:val="002B7C39"/>
    <w:rsid w:val="002C508D"/>
    <w:rsid w:val="002D5FD0"/>
    <w:rsid w:val="002F705B"/>
    <w:rsid w:val="00306422"/>
    <w:rsid w:val="00321A4C"/>
    <w:rsid w:val="00322BCE"/>
    <w:rsid w:val="00331252"/>
    <w:rsid w:val="00352C28"/>
    <w:rsid w:val="0036683D"/>
    <w:rsid w:val="00380020"/>
    <w:rsid w:val="00384462"/>
    <w:rsid w:val="00385D53"/>
    <w:rsid w:val="003864AD"/>
    <w:rsid w:val="003D0000"/>
    <w:rsid w:val="003D626D"/>
    <w:rsid w:val="003E4F88"/>
    <w:rsid w:val="003E68CC"/>
    <w:rsid w:val="003E727D"/>
    <w:rsid w:val="003F3F37"/>
    <w:rsid w:val="003F6AD7"/>
    <w:rsid w:val="004022B4"/>
    <w:rsid w:val="00425677"/>
    <w:rsid w:val="00427ABE"/>
    <w:rsid w:val="00433EDD"/>
    <w:rsid w:val="00435A04"/>
    <w:rsid w:val="0044219E"/>
    <w:rsid w:val="004502CD"/>
    <w:rsid w:val="0045216F"/>
    <w:rsid w:val="004532D9"/>
    <w:rsid w:val="004577FA"/>
    <w:rsid w:val="00464B4C"/>
    <w:rsid w:val="004830B1"/>
    <w:rsid w:val="00484232"/>
    <w:rsid w:val="004D61EA"/>
    <w:rsid w:val="004F7D4E"/>
    <w:rsid w:val="00501A19"/>
    <w:rsid w:val="00514D13"/>
    <w:rsid w:val="0051589C"/>
    <w:rsid w:val="00521D0C"/>
    <w:rsid w:val="00521EAA"/>
    <w:rsid w:val="00523B69"/>
    <w:rsid w:val="0054149A"/>
    <w:rsid w:val="00544345"/>
    <w:rsid w:val="00546209"/>
    <w:rsid w:val="00546DF7"/>
    <w:rsid w:val="005540FB"/>
    <w:rsid w:val="0055479C"/>
    <w:rsid w:val="00562D3D"/>
    <w:rsid w:val="00581D2D"/>
    <w:rsid w:val="00590D1A"/>
    <w:rsid w:val="0059213B"/>
    <w:rsid w:val="00597535"/>
    <w:rsid w:val="005B024F"/>
    <w:rsid w:val="005B3444"/>
    <w:rsid w:val="005C775F"/>
    <w:rsid w:val="005D1D6D"/>
    <w:rsid w:val="005D2EA9"/>
    <w:rsid w:val="005D4C14"/>
    <w:rsid w:val="005E7E50"/>
    <w:rsid w:val="005F2120"/>
    <w:rsid w:val="00610497"/>
    <w:rsid w:val="0061682B"/>
    <w:rsid w:val="00622F76"/>
    <w:rsid w:val="0063678A"/>
    <w:rsid w:val="006444A1"/>
    <w:rsid w:val="00646166"/>
    <w:rsid w:val="00655A10"/>
    <w:rsid w:val="00666A99"/>
    <w:rsid w:val="0068065A"/>
    <w:rsid w:val="00682310"/>
    <w:rsid w:val="00685462"/>
    <w:rsid w:val="006B5C7E"/>
    <w:rsid w:val="006D0385"/>
    <w:rsid w:val="006E27BF"/>
    <w:rsid w:val="006F2BCB"/>
    <w:rsid w:val="00700983"/>
    <w:rsid w:val="00725131"/>
    <w:rsid w:val="00725C85"/>
    <w:rsid w:val="00753A05"/>
    <w:rsid w:val="00770627"/>
    <w:rsid w:val="007819D6"/>
    <w:rsid w:val="00792556"/>
    <w:rsid w:val="0079440C"/>
    <w:rsid w:val="00797A8C"/>
    <w:rsid w:val="007A46E2"/>
    <w:rsid w:val="007B6150"/>
    <w:rsid w:val="007D0013"/>
    <w:rsid w:val="007D520B"/>
    <w:rsid w:val="007E317D"/>
    <w:rsid w:val="007E72E8"/>
    <w:rsid w:val="007F4C9B"/>
    <w:rsid w:val="0080313B"/>
    <w:rsid w:val="00805769"/>
    <w:rsid w:val="00805FAA"/>
    <w:rsid w:val="008124BD"/>
    <w:rsid w:val="00813079"/>
    <w:rsid w:val="00815B14"/>
    <w:rsid w:val="00830EC0"/>
    <w:rsid w:val="00832D05"/>
    <w:rsid w:val="00833D94"/>
    <w:rsid w:val="008435F3"/>
    <w:rsid w:val="00844956"/>
    <w:rsid w:val="008522CB"/>
    <w:rsid w:val="00857FC3"/>
    <w:rsid w:val="0086416D"/>
    <w:rsid w:val="00877117"/>
    <w:rsid w:val="00881E80"/>
    <w:rsid w:val="00896F71"/>
    <w:rsid w:val="008974FB"/>
    <w:rsid w:val="008A0D73"/>
    <w:rsid w:val="008B180A"/>
    <w:rsid w:val="008B18D5"/>
    <w:rsid w:val="008B4CD5"/>
    <w:rsid w:val="008B718E"/>
    <w:rsid w:val="008C6A96"/>
    <w:rsid w:val="008D3E4C"/>
    <w:rsid w:val="008E56C7"/>
    <w:rsid w:val="008F0F07"/>
    <w:rsid w:val="008F2A13"/>
    <w:rsid w:val="00902878"/>
    <w:rsid w:val="00925069"/>
    <w:rsid w:val="00925C7D"/>
    <w:rsid w:val="00937AAD"/>
    <w:rsid w:val="00963876"/>
    <w:rsid w:val="00967AD8"/>
    <w:rsid w:val="00975CEA"/>
    <w:rsid w:val="00977537"/>
    <w:rsid w:val="00977905"/>
    <w:rsid w:val="009803AD"/>
    <w:rsid w:val="00992BE1"/>
    <w:rsid w:val="00994391"/>
    <w:rsid w:val="009968C5"/>
    <w:rsid w:val="009A12F3"/>
    <w:rsid w:val="009A23AB"/>
    <w:rsid w:val="009B1DEB"/>
    <w:rsid w:val="009B359E"/>
    <w:rsid w:val="009C33F1"/>
    <w:rsid w:val="009D180E"/>
    <w:rsid w:val="009D5F52"/>
    <w:rsid w:val="009D728C"/>
    <w:rsid w:val="009D79F4"/>
    <w:rsid w:val="00A00B9C"/>
    <w:rsid w:val="00A0245A"/>
    <w:rsid w:val="00A11ED4"/>
    <w:rsid w:val="00A2101C"/>
    <w:rsid w:val="00A33E8D"/>
    <w:rsid w:val="00A42BA7"/>
    <w:rsid w:val="00A54150"/>
    <w:rsid w:val="00A748DE"/>
    <w:rsid w:val="00A82C90"/>
    <w:rsid w:val="00A87390"/>
    <w:rsid w:val="00A9243C"/>
    <w:rsid w:val="00AB7CB4"/>
    <w:rsid w:val="00AD4572"/>
    <w:rsid w:val="00AD496F"/>
    <w:rsid w:val="00AF3A91"/>
    <w:rsid w:val="00AF79B8"/>
    <w:rsid w:val="00B13E00"/>
    <w:rsid w:val="00B177DF"/>
    <w:rsid w:val="00B208D6"/>
    <w:rsid w:val="00B3113E"/>
    <w:rsid w:val="00B32F4C"/>
    <w:rsid w:val="00B57A05"/>
    <w:rsid w:val="00B63033"/>
    <w:rsid w:val="00B64F18"/>
    <w:rsid w:val="00B705E2"/>
    <w:rsid w:val="00B862DF"/>
    <w:rsid w:val="00B92FB1"/>
    <w:rsid w:val="00B96799"/>
    <w:rsid w:val="00BA0ECB"/>
    <w:rsid w:val="00BA3E3E"/>
    <w:rsid w:val="00BA5133"/>
    <w:rsid w:val="00BA527D"/>
    <w:rsid w:val="00BB4D8E"/>
    <w:rsid w:val="00BC24AF"/>
    <w:rsid w:val="00BD59DD"/>
    <w:rsid w:val="00BD5FB4"/>
    <w:rsid w:val="00BF5165"/>
    <w:rsid w:val="00C0321D"/>
    <w:rsid w:val="00C079E1"/>
    <w:rsid w:val="00C10E75"/>
    <w:rsid w:val="00C144D6"/>
    <w:rsid w:val="00C21B90"/>
    <w:rsid w:val="00C31F14"/>
    <w:rsid w:val="00C363C0"/>
    <w:rsid w:val="00C36F9B"/>
    <w:rsid w:val="00C60A64"/>
    <w:rsid w:val="00C814CD"/>
    <w:rsid w:val="00C97693"/>
    <w:rsid w:val="00CA363D"/>
    <w:rsid w:val="00CC22A9"/>
    <w:rsid w:val="00CC6BBE"/>
    <w:rsid w:val="00CC6EFD"/>
    <w:rsid w:val="00CE3DFF"/>
    <w:rsid w:val="00CF3870"/>
    <w:rsid w:val="00CF4B75"/>
    <w:rsid w:val="00D00F9C"/>
    <w:rsid w:val="00D0485C"/>
    <w:rsid w:val="00D1177D"/>
    <w:rsid w:val="00D136C8"/>
    <w:rsid w:val="00D2132D"/>
    <w:rsid w:val="00D22277"/>
    <w:rsid w:val="00D239E7"/>
    <w:rsid w:val="00D265D9"/>
    <w:rsid w:val="00D43A60"/>
    <w:rsid w:val="00D5456A"/>
    <w:rsid w:val="00D54C2A"/>
    <w:rsid w:val="00D76779"/>
    <w:rsid w:val="00D81238"/>
    <w:rsid w:val="00D814DF"/>
    <w:rsid w:val="00D82E59"/>
    <w:rsid w:val="00DA27E1"/>
    <w:rsid w:val="00DA2CDE"/>
    <w:rsid w:val="00DA4B11"/>
    <w:rsid w:val="00DA4F73"/>
    <w:rsid w:val="00DB6684"/>
    <w:rsid w:val="00DC18C2"/>
    <w:rsid w:val="00DE72B9"/>
    <w:rsid w:val="00DF5711"/>
    <w:rsid w:val="00DF6493"/>
    <w:rsid w:val="00E014CA"/>
    <w:rsid w:val="00E1100E"/>
    <w:rsid w:val="00E12429"/>
    <w:rsid w:val="00E35DF9"/>
    <w:rsid w:val="00E45FDD"/>
    <w:rsid w:val="00E53F39"/>
    <w:rsid w:val="00E6144F"/>
    <w:rsid w:val="00E636E5"/>
    <w:rsid w:val="00E73507"/>
    <w:rsid w:val="00E8163B"/>
    <w:rsid w:val="00E82EAD"/>
    <w:rsid w:val="00E8772C"/>
    <w:rsid w:val="00E90B5F"/>
    <w:rsid w:val="00E93724"/>
    <w:rsid w:val="00E953BE"/>
    <w:rsid w:val="00EB1B20"/>
    <w:rsid w:val="00EB6453"/>
    <w:rsid w:val="00EF0F21"/>
    <w:rsid w:val="00EF16D8"/>
    <w:rsid w:val="00EF7EDA"/>
    <w:rsid w:val="00F40E56"/>
    <w:rsid w:val="00F5284E"/>
    <w:rsid w:val="00F5685A"/>
    <w:rsid w:val="00F628D9"/>
    <w:rsid w:val="00F663F7"/>
    <w:rsid w:val="00F66CF5"/>
    <w:rsid w:val="00F7137E"/>
    <w:rsid w:val="00F72D4C"/>
    <w:rsid w:val="00F74D4F"/>
    <w:rsid w:val="00F7559B"/>
    <w:rsid w:val="00F90273"/>
    <w:rsid w:val="00F90CCA"/>
    <w:rsid w:val="00F92EBF"/>
    <w:rsid w:val="00FB502F"/>
    <w:rsid w:val="00FD1F15"/>
    <w:rsid w:val="00FD5BB0"/>
    <w:rsid w:val="00FD6CFC"/>
    <w:rsid w:val="00FD7FB6"/>
    <w:rsid w:val="00FE19A6"/>
    <w:rsid w:val="00FE52CB"/>
    <w:rsid w:val="00FE7FA9"/>
    <w:rsid w:val="00FF53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6DDE76"/>
  <w15:chartTrackingRefBased/>
  <w15:docId w15:val="{181F9891-6985-4C3B-A954-F0EF1A5E5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fr-FR"/>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fr-FR"/>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qFormat/>
    <w:rsid w:val="0086416D"/>
    <w:pPr>
      <w:ind w:left="720"/>
      <w:contextualSpacing/>
    </w:pPr>
  </w:style>
  <w:style w:type="paragraph" w:customStyle="1" w:styleId="SBullet">
    <w:name w:val="S_Bullet"/>
    <w:basedOn w:val="Normal"/>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fr-FR"/>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rPr>
  </w:style>
  <w:style w:type="paragraph" w:customStyle="1" w:styleId="STextitalic">
    <w:name w:val="S_Text italic"/>
    <w:basedOn w:val="Normal"/>
    <w:qFormat/>
    <w:rsid w:val="00B96799"/>
    <w:rPr>
      <w:i/>
    </w:rPr>
  </w:style>
  <w:style w:type="paragraph" w:styleId="Revision">
    <w:name w:val="Revision"/>
    <w:hidden/>
    <w:uiPriority w:val="99"/>
    <w:semiHidden/>
    <w:rsid w:val="00E6144F"/>
    <w:rPr>
      <w:sz w:val="24"/>
    </w:rPr>
  </w:style>
  <w:style w:type="character" w:styleId="CommentReference">
    <w:name w:val="annotation reference"/>
    <w:basedOn w:val="DefaultParagraphFont"/>
    <w:uiPriority w:val="99"/>
    <w:semiHidden/>
    <w:rsid w:val="002A73B3"/>
    <w:rPr>
      <w:sz w:val="16"/>
      <w:szCs w:val="16"/>
    </w:rPr>
  </w:style>
  <w:style w:type="paragraph" w:styleId="CommentText">
    <w:name w:val="annotation text"/>
    <w:basedOn w:val="Normal"/>
    <w:link w:val="CommentTextChar"/>
    <w:uiPriority w:val="99"/>
    <w:semiHidden/>
    <w:rsid w:val="002A73B3"/>
    <w:rPr>
      <w:sz w:val="20"/>
      <w:szCs w:val="20"/>
    </w:rPr>
  </w:style>
  <w:style w:type="character" w:customStyle="1" w:styleId="CommentTextChar">
    <w:name w:val="Comment Text Char"/>
    <w:basedOn w:val="DefaultParagraphFont"/>
    <w:link w:val="CommentText"/>
    <w:uiPriority w:val="99"/>
    <w:semiHidden/>
    <w:rsid w:val="002A73B3"/>
    <w:rPr>
      <w:sz w:val="20"/>
      <w:szCs w:val="20"/>
      <w:lang w:val="fr-FR"/>
    </w:rPr>
  </w:style>
  <w:style w:type="paragraph" w:styleId="CommentSubject">
    <w:name w:val="annotation subject"/>
    <w:basedOn w:val="CommentText"/>
    <w:next w:val="CommentText"/>
    <w:link w:val="CommentSubjectChar"/>
    <w:uiPriority w:val="99"/>
    <w:semiHidden/>
    <w:unhideWhenUsed/>
    <w:rsid w:val="002A73B3"/>
    <w:rPr>
      <w:b/>
      <w:bCs/>
    </w:rPr>
  </w:style>
  <w:style w:type="character" w:customStyle="1" w:styleId="CommentSubjectChar">
    <w:name w:val="Comment Subject Char"/>
    <w:basedOn w:val="CommentTextChar"/>
    <w:link w:val="CommentSubject"/>
    <w:uiPriority w:val="99"/>
    <w:semiHidden/>
    <w:rsid w:val="002A73B3"/>
    <w:rPr>
      <w:b/>
      <w:bCs/>
      <w:sz w:val="20"/>
      <w:szCs w:val="20"/>
      <w:lang w:val="fr-FR"/>
    </w:rPr>
  </w:style>
  <w:style w:type="character" w:customStyle="1" w:styleId="Mentionnonrsolue1">
    <w:name w:val="Mention non résolue1"/>
    <w:basedOn w:val="DefaultParagraphFont"/>
    <w:uiPriority w:val="99"/>
    <w:semiHidden/>
    <w:unhideWhenUsed/>
    <w:rsid w:val="00FB502F"/>
    <w:rPr>
      <w:color w:val="605E5C"/>
      <w:shd w:val="clear" w:color="auto" w:fill="E1DFDD"/>
    </w:rPr>
  </w:style>
  <w:style w:type="character" w:styleId="FollowedHyperlink">
    <w:name w:val="FollowedHyperlink"/>
    <w:basedOn w:val="DefaultParagraphFont"/>
    <w:uiPriority w:val="99"/>
    <w:semiHidden/>
    <w:rsid w:val="0026471E"/>
    <w:rPr>
      <w:color w:val="272B35" w:themeColor="followedHyperlink"/>
      <w:u w:val="single"/>
    </w:rPr>
  </w:style>
  <w:style w:type="paragraph" w:customStyle="1" w:styleId="DraftLineWC">
    <w:name w:val="DraftLineW&amp;C"/>
    <w:basedOn w:val="Normal"/>
    <w:uiPriority w:val="99"/>
    <w:semiHidden/>
    <w:rsid w:val="002B24B2"/>
    <w:pPr>
      <w:framePr w:w="5328" w:hSpace="187" w:vSpace="187" w:wrap="around" w:vAnchor="page" w:hAnchor="page" w:x="5761" w:y="721"/>
      <w:spacing w:after="0"/>
      <w:jc w:val="right"/>
    </w:pPr>
    <w:rPr>
      <w:rFonts w:ascii="Times New Roman" w:eastAsia="Times New Roman" w:hAnsi="Times New Roman" w:cs="Times New Roman"/>
      <w:sz w:val="20"/>
      <w:szCs w:val="24"/>
    </w:rPr>
  </w:style>
  <w:style w:type="paragraph" w:styleId="BalloonText">
    <w:name w:val="Balloon Text"/>
    <w:basedOn w:val="Normal"/>
    <w:link w:val="BalloonTextChar"/>
    <w:uiPriority w:val="99"/>
    <w:semiHidden/>
    <w:unhideWhenUsed/>
    <w:rsid w:val="007D001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13"/>
    <w:rPr>
      <w:rFonts w:ascii="Segoe UI" w:hAnsi="Segoe UI" w:cs="Segoe UI"/>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023979">
      <w:bodyDiv w:val="1"/>
      <w:marLeft w:val="0"/>
      <w:marRight w:val="0"/>
      <w:marTop w:val="0"/>
      <w:marBottom w:val="0"/>
      <w:divBdr>
        <w:top w:val="none" w:sz="0" w:space="0" w:color="auto"/>
        <w:left w:val="none" w:sz="0" w:space="0" w:color="auto"/>
        <w:bottom w:val="none" w:sz="0" w:space="0" w:color="auto"/>
        <w:right w:val="none" w:sz="0" w:space="0" w:color="auto"/>
      </w:divBdr>
    </w:div>
    <w:div w:id="723722998">
      <w:bodyDiv w:val="1"/>
      <w:marLeft w:val="0"/>
      <w:marRight w:val="0"/>
      <w:marTop w:val="0"/>
      <w:marBottom w:val="0"/>
      <w:divBdr>
        <w:top w:val="none" w:sz="0" w:space="0" w:color="auto"/>
        <w:left w:val="none" w:sz="0" w:space="0" w:color="auto"/>
        <w:bottom w:val="none" w:sz="0" w:space="0" w:color="auto"/>
        <w:right w:val="none" w:sz="0" w:space="0" w:color="auto"/>
      </w:divBdr>
    </w:div>
    <w:div w:id="854928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tellantis.com/en"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0900KC\Desktop\Stellantis%20Press%20Release%20Word%20US%20v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13664CCD2AD4979B4C83BA5335883C9"/>
        <w:category>
          <w:name w:val="General"/>
          <w:gallery w:val="placeholder"/>
        </w:category>
        <w:types>
          <w:type w:val="bbPlcHdr"/>
        </w:types>
        <w:behaviors>
          <w:behavior w:val="content"/>
        </w:behaviors>
        <w:guid w:val="{F2A7BCE1-F0EA-4F25-8CCE-919B8095A882}"/>
      </w:docPartPr>
      <w:docPartBody>
        <w:p w:rsidR="002E5869" w:rsidRDefault="00904AA3" w:rsidP="00904AA3">
          <w:pPr>
            <w:pStyle w:val="E13664CCD2AD4979B4C83BA5335883C9"/>
          </w:pPr>
          <w:r w:rsidRPr="0086416D">
            <w:rPr>
              <w:rStyle w:val="PlaceholderText"/>
              <w:b/>
              <w:color w:val="44546A" w:themeColor="text2"/>
            </w:rPr>
            <w:t>First name LAST NAME</w:t>
          </w:r>
        </w:p>
      </w:docPartBody>
    </w:docPart>
    <w:docPart>
      <w:docPartPr>
        <w:name w:val="B9277BC0B15E4B79AE7945F7C624CE25"/>
        <w:category>
          <w:name w:val="General"/>
          <w:gallery w:val="placeholder"/>
        </w:category>
        <w:types>
          <w:type w:val="bbPlcHdr"/>
        </w:types>
        <w:behaviors>
          <w:behavior w:val="content"/>
        </w:behaviors>
        <w:guid w:val="{1FCC4A75-4190-4408-959D-02E4971CCFA3}"/>
      </w:docPartPr>
      <w:docPartBody>
        <w:p w:rsidR="002E5869" w:rsidRDefault="00904AA3" w:rsidP="00904AA3">
          <w:pPr>
            <w:pStyle w:val="B9277BC0B15E4B79AE7945F7C624CE25"/>
          </w:pPr>
          <w:r w:rsidRPr="0086416D">
            <w:rPr>
              <w:rStyle w:val="PlaceholderText"/>
              <w:b/>
              <w:color w:val="44546A" w:themeColor="text2"/>
            </w:rPr>
            <w:t>First name LAST NAME</w:t>
          </w:r>
        </w:p>
      </w:docPartBody>
    </w:docPart>
    <w:docPart>
      <w:docPartPr>
        <w:name w:val="1DCAEABB28964B54A3E1E1C601EAF8CA"/>
        <w:category>
          <w:name w:val="General"/>
          <w:gallery w:val="placeholder"/>
        </w:category>
        <w:types>
          <w:type w:val="bbPlcHdr"/>
        </w:types>
        <w:behaviors>
          <w:behavior w:val="content"/>
        </w:behaviors>
        <w:guid w:val="{04EF1D9C-DDFF-4200-85E3-797D337E319A}"/>
      </w:docPartPr>
      <w:docPartBody>
        <w:p w:rsidR="002E5869" w:rsidRDefault="00904AA3" w:rsidP="00904AA3">
          <w:pPr>
            <w:pStyle w:val="1DCAEABB28964B54A3E1E1C601EAF8CA"/>
          </w:pPr>
          <w:r w:rsidRPr="0086416D">
            <w:rPr>
              <w:rStyle w:val="PlaceholderText"/>
              <w:b/>
              <w:color w:val="44546A" w:themeColor="text2"/>
            </w:rPr>
            <w:t>First name LAST NAME</w:t>
          </w:r>
        </w:p>
      </w:docPartBody>
    </w:docPart>
    <w:docPart>
      <w:docPartPr>
        <w:name w:val="BFCEA3D012E8484C910784CA596FFF9D"/>
        <w:category>
          <w:name w:val="General"/>
          <w:gallery w:val="placeholder"/>
        </w:category>
        <w:types>
          <w:type w:val="bbPlcHdr"/>
        </w:types>
        <w:behaviors>
          <w:behavior w:val="content"/>
        </w:behaviors>
        <w:guid w:val="{C960C1A7-4DBD-42AD-A517-B06CA9F0E0E1}"/>
      </w:docPartPr>
      <w:docPartBody>
        <w:p w:rsidR="002E5869" w:rsidRDefault="00904AA3" w:rsidP="00904AA3">
          <w:pPr>
            <w:pStyle w:val="BFCEA3D012E8484C910784CA596FFF9D"/>
          </w:pPr>
          <w:r w:rsidRPr="0086416D">
            <w:rPr>
              <w:rStyle w:val="PlaceholderText"/>
              <w:b/>
              <w:color w:val="44546A" w:themeColor="text2"/>
            </w:rPr>
            <w:t>First name LAST NAME</w:t>
          </w:r>
        </w:p>
      </w:docPartBody>
    </w:docPart>
    <w:docPart>
      <w:docPartPr>
        <w:name w:val="9A5E45F05C364957A6B992BFAC604BCA"/>
        <w:category>
          <w:name w:val="General"/>
          <w:gallery w:val="placeholder"/>
        </w:category>
        <w:types>
          <w:type w:val="bbPlcHdr"/>
        </w:types>
        <w:behaviors>
          <w:behavior w:val="content"/>
        </w:behaviors>
        <w:guid w:val="{3A87CE22-BE44-4EC5-B671-3597FAC059FD}"/>
      </w:docPartPr>
      <w:docPartBody>
        <w:p w:rsidR="002E5869" w:rsidRDefault="00904AA3" w:rsidP="00904AA3">
          <w:pPr>
            <w:pStyle w:val="9A5E45F05C364957A6B992BFAC604BCA"/>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Encode Sans">
    <w:panose1 w:val="00000000000000000000"/>
    <w:charset w:val="00"/>
    <w:family w:val="auto"/>
    <w:pitch w:val="variable"/>
    <w:sig w:usb0="A00000FF" w:usb1="4000207B" w:usb2="00000000" w:usb3="00000000" w:csb0="00000193"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646"/>
    <w:rsid w:val="00040794"/>
    <w:rsid w:val="00080CF9"/>
    <w:rsid w:val="000E72C3"/>
    <w:rsid w:val="00140488"/>
    <w:rsid w:val="0017027B"/>
    <w:rsid w:val="00286664"/>
    <w:rsid w:val="002A58E2"/>
    <w:rsid w:val="002C0D46"/>
    <w:rsid w:val="002E5869"/>
    <w:rsid w:val="00303A22"/>
    <w:rsid w:val="00312839"/>
    <w:rsid w:val="00320C69"/>
    <w:rsid w:val="00350F86"/>
    <w:rsid w:val="0035789C"/>
    <w:rsid w:val="00373C8A"/>
    <w:rsid w:val="003846E1"/>
    <w:rsid w:val="003B479B"/>
    <w:rsid w:val="003E6954"/>
    <w:rsid w:val="00403CE8"/>
    <w:rsid w:val="004117DE"/>
    <w:rsid w:val="00446CA8"/>
    <w:rsid w:val="00460C52"/>
    <w:rsid w:val="004638B8"/>
    <w:rsid w:val="00463C8D"/>
    <w:rsid w:val="004739DE"/>
    <w:rsid w:val="00556BF1"/>
    <w:rsid w:val="0059417C"/>
    <w:rsid w:val="005F2BD3"/>
    <w:rsid w:val="006222F3"/>
    <w:rsid w:val="006533C5"/>
    <w:rsid w:val="006E4496"/>
    <w:rsid w:val="007063D6"/>
    <w:rsid w:val="00711DAD"/>
    <w:rsid w:val="00712010"/>
    <w:rsid w:val="00714099"/>
    <w:rsid w:val="00716827"/>
    <w:rsid w:val="007274AA"/>
    <w:rsid w:val="00775A60"/>
    <w:rsid w:val="007814A7"/>
    <w:rsid w:val="00781B1F"/>
    <w:rsid w:val="00787479"/>
    <w:rsid w:val="007E4FE5"/>
    <w:rsid w:val="007E53F2"/>
    <w:rsid w:val="007F10CE"/>
    <w:rsid w:val="0087101D"/>
    <w:rsid w:val="00871462"/>
    <w:rsid w:val="00896646"/>
    <w:rsid w:val="008B4D03"/>
    <w:rsid w:val="00901F4B"/>
    <w:rsid w:val="00904AA3"/>
    <w:rsid w:val="009139EA"/>
    <w:rsid w:val="00957318"/>
    <w:rsid w:val="00966E45"/>
    <w:rsid w:val="009848C7"/>
    <w:rsid w:val="009B6470"/>
    <w:rsid w:val="009C4A50"/>
    <w:rsid w:val="00A00D69"/>
    <w:rsid w:val="00A3776F"/>
    <w:rsid w:val="00A45CBE"/>
    <w:rsid w:val="00A90464"/>
    <w:rsid w:val="00AD6838"/>
    <w:rsid w:val="00AE318E"/>
    <w:rsid w:val="00AF0D92"/>
    <w:rsid w:val="00B328E2"/>
    <w:rsid w:val="00B95BC8"/>
    <w:rsid w:val="00C12EF2"/>
    <w:rsid w:val="00C330AB"/>
    <w:rsid w:val="00CE7CAF"/>
    <w:rsid w:val="00CF4DDB"/>
    <w:rsid w:val="00CF7107"/>
    <w:rsid w:val="00E20551"/>
    <w:rsid w:val="00E514B5"/>
    <w:rsid w:val="00E7553B"/>
    <w:rsid w:val="00E83D16"/>
    <w:rsid w:val="00EB4E0A"/>
    <w:rsid w:val="00EC2C2D"/>
    <w:rsid w:val="00ED39D5"/>
    <w:rsid w:val="00F2319B"/>
    <w:rsid w:val="00F46C01"/>
    <w:rsid w:val="00FF0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53F2"/>
  </w:style>
  <w:style w:type="paragraph" w:customStyle="1" w:styleId="E13664CCD2AD4979B4C83BA5335883C9">
    <w:name w:val="E13664CCD2AD4979B4C83BA5335883C9"/>
    <w:rsid w:val="00904AA3"/>
  </w:style>
  <w:style w:type="paragraph" w:customStyle="1" w:styleId="B9277BC0B15E4B79AE7945F7C624CE25">
    <w:name w:val="B9277BC0B15E4B79AE7945F7C624CE25"/>
    <w:rsid w:val="00904AA3"/>
  </w:style>
  <w:style w:type="paragraph" w:customStyle="1" w:styleId="1DCAEABB28964B54A3E1E1C601EAF8CA">
    <w:name w:val="1DCAEABB28964B54A3E1E1C601EAF8CA"/>
    <w:rsid w:val="00904AA3"/>
  </w:style>
  <w:style w:type="paragraph" w:customStyle="1" w:styleId="BFCEA3D012E8484C910784CA596FFF9D">
    <w:name w:val="BFCEA3D012E8484C910784CA596FFF9D"/>
    <w:rsid w:val="00904AA3"/>
  </w:style>
  <w:style w:type="paragraph" w:customStyle="1" w:styleId="9A5E45F05C364957A6B992BFAC604BCA">
    <w:name w:val="9A5E45F05C364957A6B992BFAC604BCA"/>
    <w:rsid w:val="00904A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Stellantis Press Release Word US v6</Template>
  <TotalTime>2</TotalTime>
  <Pages>3</Pages>
  <Words>1293</Words>
  <Characters>7376</Characters>
  <Application>Microsoft Office Word</Application>
  <DocSecurity>0</DocSecurity>
  <Lines>61</Lines>
  <Paragraphs>17</Paragraphs>
  <ScaleCrop>false</ScaleCrop>
  <HeadingPairs>
    <vt:vector size="6" baseType="variant">
      <vt:variant>
        <vt:lpstr>Title</vt:lpstr>
      </vt:variant>
      <vt:variant>
        <vt:i4>1</vt:i4>
      </vt:variant>
      <vt:variant>
        <vt:lpstr>Titolo</vt:lpstr>
      </vt:variant>
      <vt:variant>
        <vt:i4>1</vt:i4>
      </vt:variant>
      <vt:variant>
        <vt:lpstr>Titre</vt:lpstr>
      </vt:variant>
      <vt:variant>
        <vt:i4>1</vt:i4>
      </vt:variant>
    </vt:vector>
  </HeadingPairs>
  <TitlesOfParts>
    <vt:vector size="3" baseType="lpstr">
      <vt:lpstr>Press Release US</vt:lpstr>
      <vt:lpstr>Press Release US</vt:lpstr>
      <vt:lpstr>Press Release US</vt:lpstr>
    </vt:vector>
  </TitlesOfParts>
  <Company>Stellantis</Company>
  <LinksUpToDate>false</LinksUpToDate>
  <CharactersWithSpaces>8652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US</dc:title>
  <dc:subject/>
  <dc:creator>Connelly Kaileen (FCA)</dc:creator>
  <cp:keywords/>
  <dc:description/>
  <cp:lastModifiedBy>ANGELA CATALDI</cp:lastModifiedBy>
  <cp:revision>3</cp:revision>
  <cp:lastPrinted>2023-03-15T17:46:00Z</cp:lastPrinted>
  <dcterms:created xsi:type="dcterms:W3CDTF">2024-02-28T07:01:00Z</dcterms:created>
  <dcterms:modified xsi:type="dcterms:W3CDTF">2024-02-28T07:09:00Z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2023-02-02T20:29:16Z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b4302e29-4316-4cf6-91d3-5eb35b1ddbbc</vt:lpwstr>
  </property>
  <property fmtid="{D5CDD505-2E9C-101B-9397-08002B2CF9AE}" pid="8" name="MSIP_Label_2fd53d93-3f4c-4b90-b511-bd6bdbb4fba9_ContentBits">
    <vt:lpwstr>0</vt:lpwstr>
  </property>
  <property fmtid="{D5CDD505-2E9C-101B-9397-08002B2CF9AE}" pid="9" name="WCOffice">
    <vt:lpwstr>New York</vt:lpwstr>
  </property>
  <property fmtid="{D5CDD505-2E9C-101B-9397-08002B2CF9AE}" pid="10" name="Language1">
    <vt:lpwstr>English (US)</vt:lpwstr>
  </property>
  <property fmtid="{D5CDD505-2E9C-101B-9397-08002B2CF9AE}" pid="11" name="Office">
    <vt:lpwstr/>
  </property>
  <property fmtid="{D5CDD505-2E9C-101B-9397-08002B2CF9AE}" pid="12" name="DateFormat">
    <vt:lpwstr>MONTH DAY, YEAR</vt:lpwstr>
  </property>
  <property fmtid="{D5CDD505-2E9C-101B-9397-08002B2CF9AE}" pid="13" name="NRT_DocNumber">
    <vt:lpwstr>120502463</vt:lpwstr>
  </property>
  <property fmtid="{D5CDD505-2E9C-101B-9397-08002B2CF9AE}" pid="14" name="NRT_DocVersion">
    <vt:lpwstr>1</vt:lpwstr>
  </property>
  <property fmtid="{D5CDD505-2E9C-101B-9397-08002B2CF9AE}" pid="15" name="NRT_DocName">
    <vt:lpwstr>Draft PR - Launch Share Buy Back program (Consolidated Comments)</vt:lpwstr>
  </property>
  <property fmtid="{D5CDD505-2E9C-101B-9397-08002B2CF9AE}" pid="16" name="NRT_AuthorDescription">
    <vt:lpwstr>Choksi, Alok</vt:lpwstr>
  </property>
  <property fmtid="{D5CDD505-2E9C-101B-9397-08002B2CF9AE}" pid="17" name="NRT_Author">
    <vt:lpwstr>CHOKSAL</vt:lpwstr>
  </property>
  <property fmtid="{D5CDD505-2E9C-101B-9397-08002B2CF9AE}" pid="18" name="NRT_Operator">
    <vt:lpwstr>choksal</vt:lpwstr>
  </property>
  <property fmtid="{D5CDD505-2E9C-101B-9397-08002B2CF9AE}" pid="19" name="NRT_Database">
    <vt:lpwstr>AMERICAS</vt:lpwstr>
  </property>
  <property fmtid="{D5CDD505-2E9C-101B-9397-08002B2CF9AE}" pid="20" name="NRT_ELITE_CLIENT">
    <vt:lpwstr>8888813</vt:lpwstr>
  </property>
  <property fmtid="{D5CDD505-2E9C-101B-9397-08002B2CF9AE}" pid="21" name="NRT_ELITE_MATTER">
    <vt:lpwstr>3260</vt:lpwstr>
  </property>
  <property fmtid="{D5CDD505-2E9C-101B-9397-08002B2CF9AE}" pid="22" name="pDocRef">
    <vt:lpwstr>8888813-3260.CHOKSAL</vt:lpwstr>
  </property>
  <property fmtid="{D5CDD505-2E9C-101B-9397-08002B2CF9AE}" pid="23" name="pDocNumber">
    <vt:lpwstr>120502463_1 [AMERICAS]</vt:lpwstr>
  </property>
</Properties>
</file>